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A1B15" w14:textId="77777777" w:rsidR="00C813FB" w:rsidRDefault="00E01810">
      <w:pPr>
        <w:spacing w:before="160" w:after="60"/>
        <w:jc w:val="center"/>
      </w:pPr>
      <w:r>
        <w:rPr>
          <w:b/>
        </w:rPr>
        <w:t>MEDICA</w:t>
      </w:r>
    </w:p>
    <w:p w14:paraId="4C7DAF99" w14:textId="77777777" w:rsidR="00C813FB" w:rsidRDefault="00E01810">
      <w:pPr>
        <w:jc w:val="center"/>
      </w:pPr>
      <w:r>
        <w:rPr>
          <w:b/>
        </w:rPr>
        <w:t>INFORMACJA O PRZETWARZANIU DANYCH OSOBOWYCH</w:t>
      </w:r>
    </w:p>
    <w:p w14:paraId="0CC6588D" w14:textId="77777777" w:rsidR="00C813FB" w:rsidRDefault="00E01810">
      <w:pPr>
        <w:spacing w:after="40"/>
        <w:jc w:val="center"/>
      </w:pPr>
      <w:r>
        <w:t>dla pacjentów, osób działających w ich imieniu oraz użytkowników serwisu www.gzmedica.pl</w:t>
      </w:r>
    </w:p>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9432"/>
      </w:tblGrid>
      <w:tr w:rsidR="00C813FB" w14:paraId="1C06F068" w14:textId="77777777">
        <w:trPr>
          <w:cantSplit/>
          <w:jc w:val="center"/>
        </w:trPr>
        <w:tc>
          <w:tcPr>
            <w:tcW w:w="9432"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70" w:type="dxa"/>
              <w:bottom w:w="100" w:type="dxa"/>
              <w:right w:w="170" w:type="dxa"/>
            </w:tcMar>
            <w:vAlign w:val="center"/>
          </w:tcPr>
          <w:p w14:paraId="303FD624" w14:textId="77777777" w:rsidR="00C813FB" w:rsidRDefault="00E01810">
            <w:pPr>
              <w:spacing w:after="0"/>
            </w:pPr>
            <w:r>
              <w:rPr>
                <w:b/>
              </w:rPr>
              <w:t>Najważniejsze informacje w skrócie</w:t>
            </w:r>
            <w:r>
              <w:rPr>
                <w:b/>
              </w:rPr>
              <w:br/>
            </w:r>
            <w:r>
              <w:t>Administratorem danych jest Medica sp. z o.o. prowadząca Centrum Medycyny Medica. W imieniu Administratora w sprawach związanych z ochroną danych osobowych działa pełnomocnik Karina Łaszewska, e-mail: karina.laszewska@gzmedica.pl, tel. 571 364 491. Inspektorem Ochrony Danych jest Marta Matyja, e-mail:</w:t>
            </w:r>
            <w:r w:rsidR="00303244">
              <w:t xml:space="preserve"> </w:t>
            </w:r>
            <w:r w:rsidR="00303244" w:rsidRPr="00303244">
              <w:t>iod@gzmedica.pl</w:t>
            </w:r>
            <w:r>
              <w:t>, tel. 32 241 38 65. Dane są przetwarzane przede wszystkim w celu rejestracji i udzielania świadczeń zdrowotnych, prowadzenia dokumentacji medycznej, rozliczeń oraz realizacji obowiązków prawnych. Rozmowy telefoniczne z placówką są nagrywane i co do zasady przechowywane przez 3 miesiące. Pacjent ma prawa wynikające z RODO oraz odrębne prawo dostępu do dokumentacji medycznej. Skargę można wnieść do Prezesa Urzędu Ochrony Danych Osobowych.</w:t>
            </w:r>
          </w:p>
        </w:tc>
      </w:tr>
    </w:tbl>
    <w:p w14:paraId="51418AA4" w14:textId="77777777" w:rsidR="00C813FB" w:rsidRDefault="00C813FB"/>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60"/>
        <w:gridCol w:w="5472"/>
      </w:tblGrid>
      <w:tr w:rsidR="00C813FB" w14:paraId="19BED8EF" w14:textId="77777777">
        <w:trPr>
          <w:cantSplit/>
          <w:jc w:val="center"/>
        </w:trPr>
        <w:tc>
          <w:tcPr>
            <w:tcW w:w="396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5A708CA5" w14:textId="77777777" w:rsidR="00C813FB" w:rsidRDefault="00E01810">
            <w:pPr>
              <w:spacing w:after="0"/>
            </w:pPr>
            <w:r>
              <w:rPr>
                <w:b/>
              </w:rPr>
              <w:t>Administrator:</w:t>
            </w:r>
          </w:p>
        </w:tc>
        <w:tc>
          <w:tcPr>
            <w:tcW w:w="5472"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AD07254" w14:textId="77777777" w:rsidR="00C813FB" w:rsidRDefault="00E01810">
            <w:pPr>
              <w:spacing w:after="0"/>
            </w:pPr>
            <w:r>
              <w:t xml:space="preserve">Medica </w:t>
            </w:r>
            <w:r w:rsidR="004833B2">
              <w:t>s</w:t>
            </w:r>
            <w:r>
              <w:t xml:space="preserve">p. z o.o., ul. </w:t>
            </w:r>
            <w:r w:rsidR="004833B2">
              <w:t>K</w:t>
            </w:r>
            <w:r>
              <w:t>s. Jana Gałeczki 54, 41-500 Chorzów</w:t>
            </w:r>
          </w:p>
        </w:tc>
      </w:tr>
      <w:tr w:rsidR="00C813FB" w14:paraId="6FD5A386" w14:textId="77777777">
        <w:trPr>
          <w:cantSplit/>
          <w:jc w:val="center"/>
        </w:trPr>
        <w:tc>
          <w:tcPr>
            <w:tcW w:w="396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9950930" w14:textId="77777777" w:rsidR="00C813FB" w:rsidRDefault="00E01810">
            <w:pPr>
              <w:spacing w:after="0"/>
            </w:pPr>
            <w:r>
              <w:rPr>
                <w:b/>
              </w:rPr>
              <w:t>Pełnomocnik Administratora:</w:t>
            </w:r>
          </w:p>
        </w:tc>
        <w:tc>
          <w:tcPr>
            <w:tcW w:w="5472"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58E5166" w14:textId="77777777" w:rsidR="00C813FB" w:rsidRDefault="00E01810">
            <w:pPr>
              <w:spacing w:after="0"/>
            </w:pPr>
            <w:r>
              <w:t>Karina Łaszewska, Menadżer Placówki</w:t>
            </w:r>
          </w:p>
        </w:tc>
      </w:tr>
      <w:tr w:rsidR="00C813FB" w14:paraId="01E6520A" w14:textId="77777777">
        <w:trPr>
          <w:cantSplit/>
          <w:jc w:val="center"/>
        </w:trPr>
        <w:tc>
          <w:tcPr>
            <w:tcW w:w="396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1EF340D" w14:textId="77777777" w:rsidR="00C813FB" w:rsidRDefault="00E01810">
            <w:pPr>
              <w:spacing w:after="0"/>
            </w:pPr>
            <w:r>
              <w:rPr>
                <w:b/>
              </w:rPr>
              <w:t>Kontakt do pełnomocnika:</w:t>
            </w:r>
          </w:p>
        </w:tc>
        <w:tc>
          <w:tcPr>
            <w:tcW w:w="5472"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0ACD7FA" w14:textId="77777777" w:rsidR="00C813FB" w:rsidRDefault="00E01810">
            <w:pPr>
              <w:spacing w:after="0"/>
            </w:pPr>
            <w:r>
              <w:t>karina.laszewska@gzmedica.pl  |  tel. 571 364 491</w:t>
            </w:r>
          </w:p>
        </w:tc>
      </w:tr>
      <w:tr w:rsidR="00C813FB" w14:paraId="25DA5DBD" w14:textId="77777777">
        <w:trPr>
          <w:jc w:val="center"/>
        </w:trPr>
        <w:tc>
          <w:tcPr>
            <w:tcW w:w="3960"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7BE5F04B" w14:textId="77777777" w:rsidR="00C813FB" w:rsidRDefault="00E01810">
            <w:pPr>
              <w:spacing w:after="0"/>
            </w:pPr>
            <w:r>
              <w:rPr>
                <w:b/>
              </w:rPr>
              <w:t>Inspektor Ochrony Danych:</w:t>
            </w:r>
          </w:p>
        </w:tc>
        <w:tc>
          <w:tcPr>
            <w:tcW w:w="5472"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3F406E75" w14:textId="77777777" w:rsidR="00C813FB" w:rsidRDefault="00E01810">
            <w:pPr>
              <w:spacing w:after="0"/>
            </w:pPr>
            <w:r>
              <w:t>Marta Matyja</w:t>
            </w:r>
          </w:p>
        </w:tc>
      </w:tr>
      <w:tr w:rsidR="00C813FB" w14:paraId="067443EC" w14:textId="77777777">
        <w:trPr>
          <w:jc w:val="center"/>
        </w:trPr>
        <w:tc>
          <w:tcPr>
            <w:tcW w:w="3960"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454AF054" w14:textId="77777777" w:rsidR="00C813FB" w:rsidRDefault="00E01810">
            <w:pPr>
              <w:spacing w:after="0"/>
            </w:pPr>
            <w:r>
              <w:rPr>
                <w:b/>
              </w:rPr>
              <w:t>Kontakt do IOD:</w:t>
            </w:r>
          </w:p>
        </w:tc>
        <w:tc>
          <w:tcPr>
            <w:tcW w:w="5472" w:type="dxa"/>
            <w:tcBorders>
              <w:top w:val="single" w:sz="4" w:space="0" w:color="A6A6A6"/>
              <w:left w:val="single" w:sz="4" w:space="0" w:color="A6A6A6"/>
              <w:bottom w:val="single" w:sz="4" w:space="0" w:color="A6A6A6"/>
              <w:right w:val="single" w:sz="4" w:space="0" w:color="A6A6A6"/>
            </w:tcBorders>
            <w:tcMar>
              <w:top w:w="100" w:type="dxa"/>
              <w:left w:w="100" w:type="dxa"/>
              <w:bottom w:w="100" w:type="dxa"/>
              <w:right w:w="100" w:type="dxa"/>
            </w:tcMar>
            <w:vAlign w:val="center"/>
          </w:tcPr>
          <w:p w14:paraId="66F2AA18" w14:textId="77777777" w:rsidR="00C813FB" w:rsidRDefault="00F872C9">
            <w:pPr>
              <w:spacing w:after="0"/>
            </w:pPr>
            <w:r w:rsidRPr="00F872C9">
              <w:t>iod@gzmedica.pl</w:t>
            </w:r>
            <w:r>
              <w:t xml:space="preserve"> </w:t>
            </w:r>
            <w:r w:rsidR="00E01810">
              <w:t>|  tel. 32 241 38 65</w:t>
            </w:r>
          </w:p>
        </w:tc>
      </w:tr>
    </w:tbl>
    <w:p w14:paraId="355E691C" w14:textId="77777777" w:rsidR="004833B2" w:rsidRDefault="004833B2">
      <w:pPr>
        <w:spacing w:after="140"/>
      </w:pPr>
    </w:p>
    <w:p w14:paraId="01F32FBE" w14:textId="77777777" w:rsidR="00C813FB" w:rsidRDefault="00E01810">
      <w:pPr>
        <w:spacing w:after="140"/>
      </w:pPr>
      <w:r>
        <w:t>Niniejszy dokument realizuje obowiązki informacyjne wynikające przede wszystkim z art. 12–14 RODO. Obejmuje przetwarzanie danych w działalności leczniczej, podczas korzystania ze strony internetowej, w związku z nagrywaniem rozmów telefonicznych oraz w obszarze objętym monitoringiem wizyjnym.</w:t>
      </w:r>
    </w:p>
    <w:p w14:paraId="697B33F5" w14:textId="77777777" w:rsidR="00C813FB" w:rsidRDefault="00E01810">
      <w:pPr>
        <w:pStyle w:val="Nagwek1"/>
      </w:pPr>
      <w:r>
        <w:rPr>
          <w:rFonts w:ascii="Calibri" w:eastAsia="Calibri" w:hAnsi="Calibri" w:cs="Calibri"/>
        </w:rPr>
        <w:t>1. Administrator danych, pełnomocnik Administratora i Inspektor Ochrony Danych</w:t>
      </w:r>
    </w:p>
    <w:p w14:paraId="36853717" w14:textId="77777777" w:rsidR="00C813FB" w:rsidRDefault="00E01810">
      <w:r>
        <w:t>Administratorem danych osobowych jest Medica sp. z o.o. prowadząca Centrum Medycyny Medica, z siedzibą przy ul. ks. Jana Gałeczki 54, 41-500 Chorzów, NIP 6461009278, REGON 003440290, KRS 0000223053 (dalej: „Administrator” lub „Medica”).</w:t>
      </w:r>
    </w:p>
    <w:p w14:paraId="2F9F4C37" w14:textId="77777777" w:rsidR="00C813FB" w:rsidRDefault="00E01810">
      <w:pPr>
        <w:keepNext/>
      </w:pPr>
      <w:r>
        <w:t>W imieniu Administratora w sprawach związanych z ochroną danych osobowych działa pełnomocnik: Karina Łaszewska, Menadżer Placówki.</w:t>
      </w:r>
    </w:p>
    <w:p w14:paraId="0D3BB22D" w14:textId="77777777" w:rsidR="00C813FB" w:rsidRDefault="00E01810">
      <w:pPr>
        <w:keepNext/>
        <w:spacing w:after="40"/>
        <w:ind w:left="255" w:hanging="113"/>
      </w:pPr>
      <w:r>
        <w:t>- e-mail: karina.laszewska@gzmedica.pl,</w:t>
      </w:r>
    </w:p>
    <w:p w14:paraId="462F13CE" w14:textId="77777777" w:rsidR="00C813FB" w:rsidRDefault="00E01810">
      <w:pPr>
        <w:spacing w:after="40"/>
        <w:ind w:left="255" w:hanging="113"/>
      </w:pPr>
      <w:r>
        <w:t>- telefon: 571 364 491.</w:t>
      </w:r>
    </w:p>
    <w:p w14:paraId="1717AD2A" w14:textId="77777777" w:rsidR="00C813FB" w:rsidRDefault="00E01810">
      <w:pPr>
        <w:spacing w:after="40"/>
        <w:ind w:left="255" w:hanging="113"/>
      </w:pPr>
      <w:r>
        <w:lastRenderedPageBreak/>
        <w:t>Z Administratorem można także skontaktować się pisemnie na adres: ul. ks. Jana Gałeczki 54, 41-500 Chorzów.</w:t>
      </w:r>
    </w:p>
    <w:p w14:paraId="025AEA3F" w14:textId="77777777" w:rsidR="00C813FB" w:rsidRDefault="00E01810">
      <w:r>
        <w:t>Inspektorem Ochrony Danych jest Marta Matyja. Kontakt z IOD jest możliwy e-mailem:</w:t>
      </w:r>
      <w:r w:rsidR="003C67A3" w:rsidRPr="003C67A3">
        <w:t xml:space="preserve"> iod@gzmedica.pl</w:t>
      </w:r>
      <w:r>
        <w:t>, telefonicznie: 32 241 38 65 albo pisemnie na adres Administratora z dopiskiem „IOD”.</w:t>
      </w:r>
    </w:p>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9432"/>
      </w:tblGrid>
      <w:tr w:rsidR="00C813FB" w14:paraId="2913CB6F" w14:textId="77777777">
        <w:trPr>
          <w:cantSplit/>
          <w:jc w:val="center"/>
        </w:trPr>
        <w:tc>
          <w:tcPr>
            <w:tcW w:w="9432"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70" w:type="dxa"/>
              <w:bottom w:w="100" w:type="dxa"/>
              <w:right w:w="170" w:type="dxa"/>
            </w:tcMar>
            <w:vAlign w:val="center"/>
          </w:tcPr>
          <w:p w14:paraId="74D91906" w14:textId="77777777" w:rsidR="00C813FB" w:rsidRDefault="00E01810">
            <w:pPr>
              <w:spacing w:after="0"/>
            </w:pPr>
            <w:r>
              <w:rPr>
                <w:b/>
              </w:rPr>
              <w:t>Ważne rozróżnienie</w:t>
            </w:r>
          </w:p>
          <w:p w14:paraId="47A1E67B" w14:textId="77777777" w:rsidR="00C813FB" w:rsidRDefault="00E01810">
            <w:pPr>
              <w:spacing w:after="0" w:line="259" w:lineRule="auto"/>
            </w:pPr>
            <w:r>
              <w:t>Zgoda pacjenta na udzielenie świadczenia zdrowotnego jest instytucją prawa medycznego. Rutynowe przetwarzanie danych potrzebnych do leczenia i prowadzenia dokumentacji medycznej co do zasady nie opiera się na zgodzie z RODO, lecz na obowiązku prawnym i celu zdrowotnym.</w:t>
            </w:r>
          </w:p>
        </w:tc>
      </w:tr>
    </w:tbl>
    <w:p w14:paraId="7770377D" w14:textId="77777777" w:rsidR="00C813FB" w:rsidRDefault="00E01810">
      <w:pPr>
        <w:pStyle w:val="Nagwek1"/>
      </w:pPr>
      <w:r>
        <w:rPr>
          <w:rFonts w:ascii="Calibri" w:eastAsia="Calibri" w:hAnsi="Calibri" w:cs="Calibri"/>
        </w:rPr>
        <w:t>2. Kogo dotyczy informacja i jakie dane są przetwarzane</w:t>
      </w:r>
    </w:p>
    <w:p w14:paraId="270DB245" w14:textId="77777777" w:rsidR="00C813FB" w:rsidRDefault="00E01810">
      <w:r>
        <w:t>Informacja dotyczy w szczególności:</w:t>
      </w:r>
    </w:p>
    <w:p w14:paraId="537CBE48" w14:textId="77777777" w:rsidR="00C813FB" w:rsidRDefault="00E01810">
      <w:pPr>
        <w:spacing w:after="40"/>
        <w:ind w:left="255" w:hanging="113"/>
      </w:pPr>
      <w:r>
        <w:t>- pacjentów, w tym małoletnich,</w:t>
      </w:r>
    </w:p>
    <w:p w14:paraId="739CB95A" w14:textId="77777777" w:rsidR="00C813FB" w:rsidRDefault="00E01810">
      <w:pPr>
        <w:spacing w:after="40"/>
        <w:ind w:left="255" w:hanging="113"/>
      </w:pPr>
      <w:r>
        <w:t>- przedstawicieli ustawowych, opiekunów faktycznych, osób upoważnionych do informacji lub dokumentacji medycznej oraz innych osób działających w imieniu pacjenta,</w:t>
      </w:r>
    </w:p>
    <w:p w14:paraId="5E7FB2CC" w14:textId="77777777" w:rsidR="00C813FB" w:rsidRDefault="00E01810">
      <w:pPr>
        <w:spacing w:after="40"/>
        <w:ind w:left="255" w:hanging="113"/>
      </w:pPr>
      <w:r>
        <w:t>- osób kontaktujących się z Medica telefonicznie, w tym osób, których rozmowy są nagrywane, a także osób kontaktujących się e-mailem, przez formularz internetowy, portal pacjenta lub media społecznościowe,</w:t>
      </w:r>
    </w:p>
    <w:p w14:paraId="63FB14BF" w14:textId="77777777" w:rsidR="00C813FB" w:rsidRDefault="00E01810">
      <w:pPr>
        <w:spacing w:after="40"/>
        <w:ind w:left="255" w:hanging="113"/>
      </w:pPr>
      <w:r>
        <w:t>- użytkowników serwisu www.gzmedica.pl,</w:t>
      </w:r>
    </w:p>
    <w:p w14:paraId="3257DF05" w14:textId="77777777" w:rsidR="00C813FB" w:rsidRDefault="00E01810">
      <w:pPr>
        <w:spacing w:after="40"/>
        <w:ind w:left="255" w:hanging="113"/>
      </w:pPr>
      <w:r>
        <w:t>- osób znajdujących się w obszarze objętym prawidłowo oznaczonym monitoringiem wizyjnym.</w:t>
      </w:r>
    </w:p>
    <w:p w14:paraId="7013916A" w14:textId="77777777" w:rsidR="00C813FB" w:rsidRDefault="00E01810">
      <w:pPr>
        <w:pStyle w:val="Nagwek2"/>
      </w:pPr>
      <w:r>
        <w:rPr>
          <w:rFonts w:ascii="Calibri" w:eastAsia="Calibri" w:hAnsi="Calibri" w:cs="Calibri"/>
        </w:rPr>
        <w:t>2.1. Kategorie danych</w:t>
      </w:r>
    </w:p>
    <w:p w14:paraId="39BE7E1A" w14:textId="77777777" w:rsidR="00C813FB" w:rsidRDefault="00E01810">
      <w:pPr>
        <w:spacing w:after="40"/>
        <w:ind w:left="255" w:hanging="113"/>
      </w:pPr>
      <w:r>
        <w:t>- dane identyfikacyjne, np. imię i nazwisko, numer PESEL, data urodzenia, płeć, adres i dane dokumentu tożsamości w zakresie potrzebnym do identyfikacji,</w:t>
      </w:r>
    </w:p>
    <w:p w14:paraId="5BF8892E" w14:textId="77777777" w:rsidR="00C813FB" w:rsidRDefault="00E01810">
      <w:pPr>
        <w:spacing w:after="40"/>
        <w:ind w:left="255" w:hanging="113"/>
      </w:pPr>
      <w:r>
        <w:t>- dane kontaktowe, np. numer telefonu, adres e-mail i adres korespondencyjny,</w:t>
      </w:r>
    </w:p>
    <w:p w14:paraId="68B38C77" w14:textId="77777777" w:rsidR="00C813FB" w:rsidRDefault="00E01810">
      <w:pPr>
        <w:spacing w:after="40"/>
        <w:ind w:left="255" w:hanging="113"/>
      </w:pPr>
      <w:r>
        <w:t>- dane dotyczące zdrowia i procesu leczenia, w tym wywiad, rozpoznania, wyniki badań, zalecenia, recepty, skierowania, zaświadczenia, informacje o świadczeniach i dokumentacja medyczna,</w:t>
      </w:r>
    </w:p>
    <w:p w14:paraId="4B209A81" w14:textId="77777777" w:rsidR="00C813FB" w:rsidRDefault="00E01810">
      <w:pPr>
        <w:spacing w:after="40"/>
        <w:ind w:left="255" w:hanging="113"/>
      </w:pPr>
      <w:r>
        <w:t>- dane osób upoważnionych i przedstawicieli, w tym dane potrzebne do sprawdzenia tożsamości i umocowania,</w:t>
      </w:r>
    </w:p>
    <w:p w14:paraId="3CD42892" w14:textId="77777777" w:rsidR="00C813FB" w:rsidRDefault="00E01810">
      <w:pPr>
        <w:spacing w:after="40"/>
        <w:ind w:left="255" w:hanging="113"/>
      </w:pPr>
      <w:r>
        <w:t>- dane rozliczeniowe i płatnicze, w tym dane do faktury, informacje o płatniku, ubezpieczycielu lub podmiocie finansującym pakiet medyczny,</w:t>
      </w:r>
    </w:p>
    <w:p w14:paraId="32253D7C" w14:textId="77777777" w:rsidR="00C813FB" w:rsidRDefault="00E01810">
      <w:pPr>
        <w:spacing w:after="40"/>
        <w:ind w:left="255" w:hanging="113"/>
      </w:pPr>
      <w:r>
        <w:t xml:space="preserve">- dane potrzebne do korzystania z systemów publicznych i usług e-zdrowia, m.in. </w:t>
      </w:r>
      <w:proofErr w:type="spellStart"/>
      <w:r>
        <w:t>eWUŚ</w:t>
      </w:r>
      <w:proofErr w:type="spellEnd"/>
      <w:r>
        <w:t>, P1, e-recepta, e-skierowanie i e-ZLA,</w:t>
      </w:r>
    </w:p>
    <w:p w14:paraId="59B48CB8" w14:textId="77777777" w:rsidR="00C813FB" w:rsidRDefault="00E01810">
      <w:pPr>
        <w:spacing w:after="40"/>
        <w:ind w:left="255" w:hanging="113"/>
      </w:pPr>
      <w:r>
        <w:t>- dane techniczne związane z korzystaniem z serwisu, np. adres IP, identyfikatory internetowe, dane urządzenia i przeglądarki, logi oraz informacje zapisane w plikach cookies,</w:t>
      </w:r>
    </w:p>
    <w:p w14:paraId="7E876467" w14:textId="77777777" w:rsidR="00B15D34" w:rsidRDefault="00E01810">
      <w:r>
        <w:t>- nagrania rozmów telefonicznych, w tym głos, treść rozmowy, numer telefonu, data i godzina połączenia, czas trwania oraz dane techniczne połączenia; zależnie od treści rozmowy także dane dotyczące zdrowia,</w:t>
      </w:r>
    </w:p>
    <w:p w14:paraId="2B23C366" w14:textId="77777777" w:rsidR="00C813FB" w:rsidRDefault="00E01810">
      <w:pPr>
        <w:spacing w:after="40"/>
        <w:ind w:left="255" w:hanging="113"/>
      </w:pPr>
      <w:r>
        <w:t>- wizerunek utrwalony przez monitoring wizyjny.</w:t>
      </w:r>
    </w:p>
    <w:p w14:paraId="160BDCD3" w14:textId="77777777" w:rsidR="00C813FB" w:rsidRDefault="00E01810">
      <w:r>
        <w:lastRenderedPageBreak/>
        <w:t>Dane genetyczne, biometryczne, dotyczące seksualności lub orientacji seksualnej są przetwarzane wyłącznie wtedy, gdy są rzeczywiście potrzebne ze względu na rodzaj świadczenia, stan zdrowia pacjenta albo wyraźny obowiązek prawny. Administrator stosuje zasadę minimalizacji danych.</w:t>
      </w:r>
    </w:p>
    <w:p w14:paraId="60234A0A" w14:textId="77777777" w:rsidR="00C813FB" w:rsidRDefault="00E01810">
      <w:pPr>
        <w:pStyle w:val="Nagwek2"/>
      </w:pPr>
      <w:r>
        <w:rPr>
          <w:rFonts w:ascii="Calibri" w:eastAsia="Calibri" w:hAnsi="Calibri" w:cs="Calibri"/>
        </w:rPr>
        <w:t>2.2. Źródła danych</w:t>
      </w:r>
    </w:p>
    <w:p w14:paraId="44DC5519" w14:textId="77777777" w:rsidR="00C813FB" w:rsidRDefault="00E01810">
      <w:r>
        <w:t>Dane mogą pochodzić:</w:t>
      </w:r>
    </w:p>
    <w:p w14:paraId="53B97666" w14:textId="77777777" w:rsidR="00C813FB" w:rsidRDefault="00E01810">
      <w:pPr>
        <w:spacing w:after="40"/>
        <w:ind w:left="255" w:hanging="113"/>
      </w:pPr>
      <w:r>
        <w:t>- bezpośrednio od pacjenta,</w:t>
      </w:r>
    </w:p>
    <w:p w14:paraId="0D000A7D" w14:textId="77777777" w:rsidR="00C813FB" w:rsidRDefault="00E01810">
      <w:pPr>
        <w:spacing w:after="40"/>
        <w:ind w:left="255" w:hanging="113"/>
      </w:pPr>
      <w:r>
        <w:t>- od przedstawiciela ustawowego, opiekuna faktycznego lub osoby upoważnionej,</w:t>
      </w:r>
    </w:p>
    <w:p w14:paraId="559F124F" w14:textId="77777777" w:rsidR="00C813FB" w:rsidRDefault="00E01810">
      <w:pPr>
        <w:spacing w:after="40"/>
        <w:ind w:left="255" w:hanging="113"/>
      </w:pPr>
      <w:r>
        <w:t>- od lekarza kierującego, innego podmiotu leczniczego, laboratorium lub osoby wykonującej zawód medyczny,</w:t>
      </w:r>
    </w:p>
    <w:p w14:paraId="528E43AE" w14:textId="77777777" w:rsidR="00C813FB" w:rsidRDefault="00E01810">
      <w:pPr>
        <w:spacing w:after="40"/>
        <w:ind w:left="255" w:hanging="113"/>
      </w:pPr>
      <w:r>
        <w:t>- od płatnika, ubezpieczyciela lub operatora prywatnego pakietu medycznego,</w:t>
      </w:r>
    </w:p>
    <w:p w14:paraId="36C74207" w14:textId="77777777" w:rsidR="00C813FB" w:rsidRDefault="00E01810">
      <w:pPr>
        <w:spacing w:after="40"/>
        <w:ind w:left="255" w:hanging="113"/>
      </w:pPr>
      <w:r>
        <w:t>- z systemów publicznych i systemów informacji w ochronie zdrowia,</w:t>
      </w:r>
    </w:p>
    <w:p w14:paraId="153CDBE4" w14:textId="77777777" w:rsidR="00C813FB" w:rsidRDefault="00E01810">
      <w:pPr>
        <w:spacing w:after="40"/>
        <w:ind w:left="255" w:hanging="113"/>
      </w:pPr>
      <w:r>
        <w:t>- z dokumentacji prowadzonej wcześniej przez Administratora, w tym w wyniku migracji pomiędzy wykorzystywanymi systemami informatycznymi,</w:t>
      </w:r>
    </w:p>
    <w:p w14:paraId="5ACC6908" w14:textId="77777777" w:rsidR="00C813FB" w:rsidRDefault="00E01810">
      <w:pPr>
        <w:spacing w:after="40"/>
        <w:ind w:left="255" w:hanging="113"/>
      </w:pPr>
      <w:r>
        <w:t>- automatycznie podczas korzystania z serwisu internetowego, w zakresie danych technicznych i ustawień cookies.</w:t>
      </w:r>
    </w:p>
    <w:p w14:paraId="6EE64260" w14:textId="77777777" w:rsidR="00C813FB" w:rsidRDefault="00E01810">
      <w:r>
        <w:t>Jeżeli dane zostały pozyskane z innego źródła niż bezpośrednio od osoby, której dotyczą, Administrator przekazuje informacje wymagane w art. 14 RODO w terminach określonych w art. 14 ust. 3 RODO, chyba że zastosowanie ma jeden z wyjątków wskazanych w art. 14 ust. 5 RODO.</w:t>
      </w:r>
    </w:p>
    <w:p w14:paraId="128D615A" w14:textId="77777777" w:rsidR="00C813FB" w:rsidRDefault="00E01810">
      <w:pPr>
        <w:pStyle w:val="Nagwek1"/>
      </w:pPr>
      <w:r>
        <w:rPr>
          <w:rFonts w:ascii="Calibri" w:eastAsia="Calibri" w:hAnsi="Calibri" w:cs="Calibri"/>
        </w:rPr>
        <w:t>3. Cele i podstawy prawne przetwarzania</w:t>
      </w:r>
    </w:p>
    <w:p w14:paraId="54DC7291" w14:textId="77777777" w:rsidR="00C813FB" w:rsidRDefault="00E01810">
      <w:r>
        <w:t>Podstawy prawne zależą od celu i rodzaju danych. W przypadku danych dotyczących zdrowia zawsze potrzebna jest zarówno podstawa z art. 6 RODO, jak i wyjątek pozwalający przetwarzać szczególne kategorie danych z art. 9 RODO.</w:t>
      </w:r>
    </w:p>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384"/>
        <w:gridCol w:w="3168"/>
        <w:gridCol w:w="2880"/>
      </w:tblGrid>
      <w:tr w:rsidR="00C813FB" w14:paraId="50F2B630" w14:textId="77777777">
        <w:trPr>
          <w:cantSplit/>
          <w:tblHeader/>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823F959" w14:textId="77777777" w:rsidR="00C813FB" w:rsidRDefault="00E01810">
            <w:pPr>
              <w:spacing w:after="0" w:line="240" w:lineRule="auto"/>
            </w:pPr>
            <w:r>
              <w:rPr>
                <w:b/>
              </w:rPr>
              <w:t>Cel</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721888D" w14:textId="77777777" w:rsidR="00C813FB" w:rsidRDefault="00E01810">
            <w:pPr>
              <w:spacing w:after="0" w:line="240" w:lineRule="auto"/>
            </w:pPr>
            <w:r>
              <w:rPr>
                <w:b/>
              </w:rPr>
              <w:t>Zakres danych</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C804C0F" w14:textId="77777777" w:rsidR="00C813FB" w:rsidRDefault="00E01810">
            <w:pPr>
              <w:spacing w:after="0" w:line="240" w:lineRule="auto"/>
            </w:pPr>
            <w:r>
              <w:rPr>
                <w:b/>
              </w:rPr>
              <w:t>Podstawa prawna</w:t>
            </w:r>
          </w:p>
        </w:tc>
      </w:tr>
      <w:tr w:rsidR="00C813FB" w14:paraId="6B352E8A"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A442802" w14:textId="77777777" w:rsidR="00C813FB" w:rsidRDefault="00E01810">
            <w:pPr>
              <w:spacing w:after="0" w:line="240" w:lineRule="auto"/>
            </w:pPr>
            <w:r>
              <w:t>Rejestracja, umówienie wizyty, przyjęcie zgłoszenia i podjęcie działań przed udzieleniem usługi</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3BF7CA9" w14:textId="77777777" w:rsidR="00C813FB" w:rsidRDefault="00E01810">
            <w:pPr>
              <w:spacing w:after="0" w:line="240" w:lineRule="auto"/>
            </w:pPr>
            <w:r>
              <w:t>Dane identyfikacyjne, kontaktowe, organizacyjne; w niezbędnym zakresie dane zdrowotne</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41E587B" w14:textId="77777777" w:rsidR="00C813FB" w:rsidRDefault="00E01810">
            <w:pPr>
              <w:spacing w:after="0" w:line="240" w:lineRule="auto"/>
            </w:pPr>
            <w:r>
              <w:t>art. 6 ust. 1 lit. b i c RODO; dla danych zdrowotnych art. 9 ust. 2 lit. h RODO</w:t>
            </w:r>
          </w:p>
        </w:tc>
      </w:tr>
      <w:tr w:rsidR="00C813FB" w14:paraId="1D49B131"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2474563" w14:textId="77777777" w:rsidR="00C813FB" w:rsidRDefault="00E01810">
            <w:pPr>
              <w:spacing w:after="0" w:line="240" w:lineRule="auto"/>
            </w:pPr>
            <w:r>
              <w:t>Udzielanie świadczeń zdrowotnych, diagnoza, leczenie, profilaktyka, teleporady i zapewnienie ciągłości opieki</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33DDE7A" w14:textId="77777777" w:rsidR="00C813FB" w:rsidRDefault="00E01810">
            <w:pPr>
              <w:spacing w:after="0" w:line="240" w:lineRule="auto"/>
            </w:pPr>
            <w:r>
              <w:t>Dane identyfikacyjne, dane dotyczące zdrowia i dokumentacja procesu leczenia</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78CBD5E" w14:textId="77777777" w:rsidR="00C813FB" w:rsidRDefault="00E01810">
            <w:pPr>
              <w:spacing w:after="0" w:line="240" w:lineRule="auto"/>
            </w:pPr>
            <w:r>
              <w:t>art. 6 ust. 1 lit. c RODO oraz art. 9 ust. 2 lit. h RODO w związku z przepisami prawa medycznego</w:t>
            </w:r>
          </w:p>
        </w:tc>
      </w:tr>
      <w:tr w:rsidR="00C813FB" w14:paraId="5907BC6F"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F1F69D0" w14:textId="77777777" w:rsidR="00C813FB" w:rsidRDefault="00E01810">
            <w:pPr>
              <w:spacing w:after="0" w:line="240" w:lineRule="auto"/>
            </w:pPr>
            <w:r>
              <w:t>Prowadzenie, przechowywanie i udostępnianie dokumentacji medycznej oraz realizacja praw pacjenta</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32B0F33" w14:textId="77777777" w:rsidR="00C813FB" w:rsidRDefault="00E01810">
            <w:pPr>
              <w:spacing w:after="0" w:line="240" w:lineRule="auto"/>
            </w:pPr>
            <w:r>
              <w:t>Dane wymagane przepisami o dokumentacji medycznej, osoby upoważnione, historia udostępnień</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5F3120A" w14:textId="77777777" w:rsidR="00C813FB" w:rsidRDefault="00E01810">
            <w:pPr>
              <w:spacing w:after="0" w:line="240" w:lineRule="auto"/>
            </w:pPr>
            <w:r>
              <w:t>art. 6 ust. 1 lit. c RODO i art. 9 ust. 2 lit. h RODO; ustawa o prawach pacjenta i przepisy wykonawcze</w:t>
            </w:r>
          </w:p>
        </w:tc>
      </w:tr>
      <w:tr w:rsidR="00C813FB" w14:paraId="0294643E"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8D4CE03" w14:textId="77777777" w:rsidR="00C813FB" w:rsidRDefault="00E01810">
            <w:pPr>
              <w:spacing w:after="0" w:line="240" w:lineRule="auto"/>
            </w:pPr>
            <w:r>
              <w:lastRenderedPageBreak/>
              <w:t xml:space="preserve">Obsługa e-zdrowia i obowiązków sprawozdawczych, m.in. P1, </w:t>
            </w:r>
            <w:proofErr w:type="spellStart"/>
            <w:r>
              <w:t>eWUŚ</w:t>
            </w:r>
            <w:proofErr w:type="spellEnd"/>
            <w:r>
              <w:t>, e-recepta, e-skierowanie, e-ZLA</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6EFFAD8" w14:textId="77777777" w:rsidR="00C813FB" w:rsidRDefault="00E01810">
            <w:pPr>
              <w:spacing w:after="0" w:line="240" w:lineRule="auto"/>
            </w:pPr>
            <w:r>
              <w:t>Dane identyfikacyjne, dane świadczenia, dane dotyczące zdrowia, dane płatnika</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F76FB53" w14:textId="77777777" w:rsidR="00C813FB" w:rsidRDefault="00E01810">
            <w:pPr>
              <w:spacing w:after="0" w:line="240" w:lineRule="auto"/>
            </w:pPr>
            <w:r>
              <w:t>art. 6 ust. 1 lit. c RODO oraz art. 9 ust. 2 lit. h lub i RODO, zależnie od obowiązku ustawowego</w:t>
            </w:r>
          </w:p>
        </w:tc>
      </w:tr>
      <w:tr w:rsidR="00C813FB" w14:paraId="3E62B727"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1D63DC6" w14:textId="77777777" w:rsidR="00C813FB" w:rsidRDefault="00E01810">
            <w:pPr>
              <w:spacing w:after="0" w:line="240" w:lineRule="auto"/>
            </w:pPr>
            <w:r>
              <w:t>Kontakt organizacyjny, potwierdzanie i odwoływanie wizyt, SMS, e-mail, portal pacjenta</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30C7E97" w14:textId="77777777" w:rsidR="00C813FB" w:rsidRDefault="00E01810">
            <w:pPr>
              <w:spacing w:after="0" w:line="240" w:lineRule="auto"/>
            </w:pPr>
            <w:r>
              <w:t>Dane kontaktowe i informacje niezbędne do obsługi danego świadczenia</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1615765" w14:textId="77777777" w:rsidR="00C813FB" w:rsidRDefault="00E01810">
            <w:pPr>
              <w:spacing w:after="0" w:line="240" w:lineRule="auto"/>
            </w:pPr>
            <w:r>
              <w:t>art. 6 ust. 1 lit. b lub f RODO; gdy komunikat obejmuje dane zdrowotne: art. 9 ust. 2 lit. h RODO</w:t>
            </w:r>
          </w:p>
        </w:tc>
      </w:tr>
      <w:tr w:rsidR="00C813FB" w14:paraId="1F3912A6"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C191793" w14:textId="77777777" w:rsidR="00C813FB" w:rsidRDefault="00E01810">
            <w:pPr>
              <w:spacing w:after="0" w:line="240" w:lineRule="auto"/>
            </w:pPr>
            <w:r>
              <w:t>Rozliczenia, faktury, księgowość, podatki i obsługa płatności</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9AA5C63" w14:textId="77777777" w:rsidR="00C813FB" w:rsidRDefault="00E01810">
            <w:pPr>
              <w:spacing w:after="0" w:line="240" w:lineRule="auto"/>
            </w:pPr>
            <w:r>
              <w:t>Dane identyfikacyjne, rozliczeniowe, dane płatnika i rachunku</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7A710B7" w14:textId="77777777" w:rsidR="00C813FB" w:rsidRDefault="00E01810">
            <w:pPr>
              <w:spacing w:after="0" w:line="240" w:lineRule="auto"/>
            </w:pPr>
            <w:r>
              <w:t>art. 6 ust. 1 lit. c RODO, a w zakresie wykonania odpłatnej usługi także art. 6 ust. 1 lit. b RODO</w:t>
            </w:r>
          </w:p>
        </w:tc>
      </w:tr>
      <w:tr w:rsidR="00C813FB" w14:paraId="74614C8F"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B8D3FCC" w14:textId="77777777" w:rsidR="00C813FB" w:rsidRDefault="00E01810">
            <w:pPr>
              <w:spacing w:after="0" w:line="240" w:lineRule="auto"/>
            </w:pPr>
            <w:r>
              <w:t>Ustalenie, dochodzenie lub obrona roszczeń oraz obsługa skarg</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4D5589E" w14:textId="77777777" w:rsidR="00C813FB" w:rsidRDefault="00E01810">
            <w:pPr>
              <w:spacing w:after="0" w:line="240" w:lineRule="auto"/>
            </w:pPr>
            <w:r>
              <w:t>Dane dotyczące sprawy, w tym dane zdrowotne, jeśli są niezbędne</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7B56145" w14:textId="77777777" w:rsidR="00C813FB" w:rsidRDefault="00E01810">
            <w:pPr>
              <w:spacing w:after="0" w:line="240" w:lineRule="auto"/>
            </w:pPr>
            <w:r>
              <w:t>art. 6 ust. 1 lit. f RODO; dla danych szczególnych art. 9 ust. 2 lit. f RODO</w:t>
            </w:r>
          </w:p>
        </w:tc>
      </w:tr>
      <w:tr w:rsidR="00C813FB" w14:paraId="30C76BCB"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53C30881" w14:textId="77777777" w:rsidR="00C813FB" w:rsidRDefault="00E01810">
            <w:pPr>
              <w:spacing w:after="0" w:line="240" w:lineRule="auto"/>
            </w:pPr>
            <w:r>
              <w:t>Ochrona życia lub zdrowia w wyjątkowej sytuacji, gdy osoba nie może wyrazić zgody</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C2A0EC2" w14:textId="77777777" w:rsidR="00C813FB" w:rsidRDefault="00E01810">
            <w:pPr>
              <w:spacing w:after="0" w:line="240" w:lineRule="auto"/>
            </w:pPr>
            <w:r>
              <w:t>Dane niezbędne do udzielenia pilnej pomocy lub kontaktu</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48516C5" w14:textId="77777777" w:rsidR="00C813FB" w:rsidRDefault="00E01810">
            <w:pPr>
              <w:spacing w:after="0" w:line="240" w:lineRule="auto"/>
            </w:pPr>
            <w:r>
              <w:t>art. 6 ust. 1 lit. d RODO oraz art. 9 ust. 2 lit. c RODO</w:t>
            </w:r>
          </w:p>
        </w:tc>
      </w:tr>
      <w:tr w:rsidR="00C813FB" w14:paraId="469FFF65"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D7F17B2" w14:textId="77777777" w:rsidR="00C813FB" w:rsidRDefault="00E01810">
            <w:pPr>
              <w:spacing w:after="0" w:line="240" w:lineRule="auto"/>
            </w:pPr>
            <w:r>
              <w:t>Obsługa zapytań przez stronę, bezpieczeństwo serwisu i diagnostyka techniczna</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FBCF669" w14:textId="77777777" w:rsidR="00C813FB" w:rsidRDefault="00E01810">
            <w:pPr>
              <w:spacing w:after="0" w:line="240" w:lineRule="auto"/>
            </w:pPr>
            <w:r>
              <w:t>Dane formularza, adres IP, logi, dane urządzenia i przeglądarki</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F45DF9A" w14:textId="77777777" w:rsidR="00C813FB" w:rsidRDefault="00E01810">
            <w:pPr>
              <w:spacing w:after="0" w:line="240" w:lineRule="auto"/>
            </w:pPr>
            <w:r>
              <w:t>art. 6 ust. 1 lit. b lub f RODO; prawnie uzasadniony interes: komunikacja, bezpieczeństwo i przeciwdziałanie nadużyciom</w:t>
            </w:r>
          </w:p>
        </w:tc>
      </w:tr>
      <w:tr w:rsidR="00C813FB" w14:paraId="04ECE5C2"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315A77A" w14:textId="77777777" w:rsidR="00C813FB" w:rsidRDefault="00E01810">
            <w:pPr>
              <w:spacing w:after="0" w:line="240" w:lineRule="auto"/>
            </w:pPr>
            <w:r>
              <w:t>Opcjonalne cookies analityczne, funkcjonalne lub marketingowe</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0C6A85E" w14:textId="77777777" w:rsidR="00C813FB" w:rsidRDefault="00E01810">
            <w:pPr>
              <w:spacing w:after="0" w:line="240" w:lineRule="auto"/>
            </w:pPr>
            <w:r>
              <w:t>Identyfikatory internetowe, dane o aktywności i urządzeniu</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0360F12" w14:textId="77777777" w:rsidR="00C813FB" w:rsidRDefault="00E01810">
            <w:pPr>
              <w:spacing w:after="0" w:line="240" w:lineRule="auto"/>
            </w:pPr>
            <w:r>
              <w:t>zgoda: art. 6 ust. 1 lit. a RODO oraz art. 399 ustawy – Prawo komunikacji elektronicznej; wyjątek dla technologii niezbędnych: art. 399 ust. 3 tej ustawy</w:t>
            </w:r>
          </w:p>
        </w:tc>
      </w:tr>
      <w:tr w:rsidR="00C813FB" w14:paraId="5A511BB1"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F36EA25" w14:textId="77777777" w:rsidR="00C813FB" w:rsidRDefault="00E01810">
            <w:pPr>
              <w:spacing w:after="0" w:line="240" w:lineRule="auto"/>
            </w:pPr>
            <w:r>
              <w:t>Nagrywanie rozmów telefonicznych, kontrola jakości obsługi, weryfikacja ustaleń, obsługa skarg i reklamacji oraz ochrona roszczeń</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8C1366D" w14:textId="77777777" w:rsidR="00C813FB" w:rsidRDefault="00E01810">
            <w:pPr>
              <w:spacing w:after="0" w:line="240" w:lineRule="auto"/>
            </w:pPr>
            <w:r>
              <w:t>Głos, treść rozmowy, numer telefonu, data i godzina, czas trwania i dane techniczne połączenia; zależnie od treści także dane dotyczące zdrowia</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751DB26" w14:textId="77777777" w:rsidR="00C813FB" w:rsidRDefault="00E01810">
            <w:pPr>
              <w:spacing w:after="0" w:line="240" w:lineRule="auto"/>
            </w:pPr>
            <w:r>
              <w:t>art. 6 ust. 1 lit. f RODO; gdy rozmowa obejmuje dane dotyczące zdrowia: art. 9 ust. 2 lit. h RODO w zakresie organizacji i zarządzania świadczeniami zdrowotnymi oraz art. 9 ust. 2 lit. f RODO w zakresie roszczeń</w:t>
            </w:r>
          </w:p>
        </w:tc>
      </w:tr>
      <w:tr w:rsidR="00C813FB" w14:paraId="7A321970"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4A03BCD" w14:textId="77777777" w:rsidR="00C813FB" w:rsidRDefault="00E01810">
            <w:pPr>
              <w:spacing w:after="0" w:line="240" w:lineRule="auto"/>
            </w:pPr>
            <w:r>
              <w:lastRenderedPageBreak/>
              <w:t>Monitoring wizyjny w pomieszczeniach ogólnodostępnych placówki</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22313E5" w14:textId="77777777" w:rsidR="00C813FB" w:rsidRDefault="00E01810">
            <w:pPr>
              <w:spacing w:after="0" w:line="240" w:lineRule="auto"/>
            </w:pPr>
            <w:r>
              <w:t>Wizerunek, data, czas i miejsce zdarzenia</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56BF0BBC" w14:textId="77777777" w:rsidR="00C813FB" w:rsidRDefault="00E01810">
            <w:pPr>
              <w:spacing w:after="0" w:line="240" w:lineRule="auto"/>
            </w:pPr>
            <w:r>
              <w:t>art. 6 ust. 1 lit. f RODO w związku z art. 23a ust. 1 pkt 1 ustawy o działalności leczniczej; gdy obraz ujawnia dane dotyczące zdrowia - także art. 9 ust. 2 lit. i RODO</w:t>
            </w:r>
          </w:p>
        </w:tc>
      </w:tr>
      <w:tr w:rsidR="00C813FB" w14:paraId="73A8DC1A"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F06DE56" w14:textId="77777777" w:rsidR="00C813FB" w:rsidRDefault="00E01810">
            <w:pPr>
              <w:spacing w:after="0" w:line="240" w:lineRule="auto"/>
            </w:pPr>
            <w:r>
              <w:t>Monitoring wizyjny parkingu</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58C84CC" w14:textId="77777777" w:rsidR="00C813FB" w:rsidRDefault="00E01810">
            <w:pPr>
              <w:spacing w:after="0" w:line="240" w:lineRule="auto"/>
            </w:pPr>
            <w:r>
              <w:t>Wizerunek, data, czas i miejsce zdarzenia</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ACF742E" w14:textId="77777777" w:rsidR="00C813FB" w:rsidRDefault="00E01810">
            <w:pPr>
              <w:spacing w:after="0" w:line="240" w:lineRule="auto"/>
            </w:pPr>
            <w:r>
              <w:t>art. 6 ust. 1 lit. f RODO; prawnie uzasadniony interes Administratora: zapewnienie bezpieczeństwa osób, ochrona mienia i możliwość wyjaśnienia zdarzeń</w:t>
            </w:r>
          </w:p>
        </w:tc>
      </w:tr>
    </w:tbl>
    <w:p w14:paraId="3010D805" w14:textId="77777777" w:rsidR="00C813FB" w:rsidRDefault="00E01810">
      <w:r>
        <w:t>Prawnie uzasadnione interesy Administratora obejmują w szczególności sprawną organizację kontaktu i obsługi, kontrolę jakości obsługi oraz weryfikację ustaleń telefonicznych, bezpieczeństwo osób, mienia i systemów, zapobieganie nadużyciom oraz ustalenie, dochodzenie i obronę roszczeń.</w:t>
      </w:r>
    </w:p>
    <w:p w14:paraId="113BF3FD" w14:textId="77777777" w:rsidR="00C813FB" w:rsidRDefault="00E01810">
      <w:r>
        <w:t>Dane zawarte w dokumentacji medycznej nie są wykorzystywane do marketingu bezpośredniego. Ewentualne technologie analityczne lub marketingowe na stronie internetowej mogą działać wyłącznie zgodnie z decyzją użytkownika wyrażoną w panelu cookies.</w:t>
      </w:r>
    </w:p>
    <w:p w14:paraId="440BDEEB" w14:textId="77777777" w:rsidR="00C813FB" w:rsidRDefault="00E01810">
      <w:pPr>
        <w:pStyle w:val="Nagwek1"/>
      </w:pPr>
      <w:r>
        <w:rPr>
          <w:rFonts w:ascii="Calibri" w:eastAsia="Calibri" w:hAnsi="Calibri" w:cs="Calibri"/>
        </w:rPr>
        <w:t>4. Kto ma dostęp do danych i komu mogą być ujawniane</w:t>
      </w:r>
    </w:p>
    <w:p w14:paraId="1673A515" w14:textId="77777777" w:rsidR="00C813FB" w:rsidRDefault="00E01810">
      <w:pPr>
        <w:pStyle w:val="Nagwek2"/>
      </w:pPr>
      <w:r>
        <w:rPr>
          <w:rFonts w:ascii="Calibri" w:eastAsia="Calibri" w:hAnsi="Calibri" w:cs="Calibri"/>
        </w:rPr>
        <w:t>4.1. Osoby działające w ramach Medica</w:t>
      </w:r>
    </w:p>
    <w:p w14:paraId="6D90C395" w14:textId="77777777" w:rsidR="00C813FB" w:rsidRDefault="00E01810">
      <w:r>
        <w:t>Medica jako Administrator przetwarza dane pacjentów za pośrednictwem osób, którym nadała odpowiednie upoważnienia albo których uprawnienie do dostępu wynika z przepisów prawa. Każda osoba otrzymuje dostęp wyłącznie w zakresie niezbędnym do wykonywania swoich obowiązków. W szczególności są to:</w:t>
      </w:r>
    </w:p>
    <w:p w14:paraId="65AC2ABB" w14:textId="77777777" w:rsidR="00C813FB" w:rsidRDefault="00E01810">
      <w:pPr>
        <w:spacing w:after="40"/>
        <w:ind w:left="255" w:hanging="113"/>
      </w:pPr>
      <w:r>
        <w:t>- pracownicy rejestracji medycznej - w zakresie identyfikacji pacjenta, rejestracji i zmiany terminów, kontaktu organizacyjnego, obsługi pacjenta, weryfikacji uprawnień oraz wykonywania niezbędnych czynności związanych z dokumentacją i realizacją świadczeń,</w:t>
      </w:r>
    </w:p>
    <w:p w14:paraId="18F02EAA" w14:textId="77777777" w:rsidR="00C813FB" w:rsidRDefault="00E01810">
      <w:pPr>
        <w:spacing w:after="40"/>
        <w:ind w:left="255" w:hanging="113"/>
      </w:pPr>
      <w:r>
        <w:t>- pracownicy administracji i rozliczeń - w zakresie organizacji działalności placówki, rozliczeń, faktur, współpracy z płatnikami i operatorami pakietów medycznych, obsługi skarg, wniosków i korespondencji oraz realizacji obowiązków prawnych Administratora,</w:t>
      </w:r>
    </w:p>
    <w:p w14:paraId="513AE45B" w14:textId="77777777" w:rsidR="00C813FB" w:rsidRDefault="00E01810">
      <w:pPr>
        <w:spacing w:after="40"/>
        <w:ind w:left="255" w:hanging="113"/>
      </w:pPr>
      <w:r>
        <w:t>- lekarze oraz inne osoby wykonujące zawody medyczne, niezależnie od podstawy zatrudnienia lub współpracy, jeżeli udzielają świadczeń w ramach działalności Medica - w zakresie niezbędnym do diagnostyki, leczenia, profilaktyki, zapewnienia ciągłości opieki i prowadzenia dokumentacji medycznej.</w:t>
      </w:r>
    </w:p>
    <w:p w14:paraId="5B576487" w14:textId="77777777" w:rsidR="00C813FB" w:rsidRDefault="00E01810">
      <w:r>
        <w:t xml:space="preserve">Pracownicy i współpracownicy przetwarzają dane wyłącznie na polecenie Administratora lub w granicach uprawnień wynikających z prawa. Wszystkie te osoby są zobowiązane do zachowania </w:t>
      </w:r>
      <w:r>
        <w:lastRenderedPageBreak/>
        <w:t>poufności, a lekarze i inne osoby wykonujące zawody medyczne dodatkowo podlegają tajemnicy zawodowej.</w:t>
      </w:r>
    </w:p>
    <w:p w14:paraId="42B87758" w14:textId="77777777" w:rsidR="00C813FB" w:rsidRDefault="00E01810">
      <w:pPr>
        <w:pStyle w:val="Nagwek2"/>
      </w:pPr>
      <w:r>
        <w:rPr>
          <w:rFonts w:ascii="Calibri" w:eastAsia="Calibri" w:hAnsi="Calibri" w:cs="Calibri"/>
        </w:rPr>
        <w:t>4.2. Podmioty przetwarzające dane w imieniu Administratora</w:t>
      </w:r>
    </w:p>
    <w:p w14:paraId="39C73ED0" w14:textId="77777777" w:rsidR="00C813FB" w:rsidRDefault="00E01810">
      <w:r>
        <w:t>Administrator może powierzać przetwarzanie danych dostawcom usług na podstawie umów spełniających art. 28 RODO. Są to w szczególności:</w:t>
      </w:r>
    </w:p>
    <w:p w14:paraId="2BC19538" w14:textId="77777777" w:rsidR="00C813FB" w:rsidRDefault="00E01810">
      <w:pPr>
        <w:spacing w:after="40"/>
        <w:ind w:left="255" w:hanging="113"/>
      </w:pPr>
      <w:r>
        <w:t>- MyDr sp. z o.o., ul. Puławska 465, 02-844 Warszawa, NIP 5252730290, REGON 368795483</w:t>
      </w:r>
      <w:r w:rsidR="00F9089B">
        <w:t>;</w:t>
      </w:r>
      <w:r>
        <w:t xml:space="preserve"> podmiot przetwarzający w zakresie systemu MyDr EDM świadczonego na rzecz Medica, w tym terminarza, dokumentacji medycznej, powiadomień</w:t>
      </w:r>
      <w:r w:rsidR="001A0B44">
        <w:t>, wtyczki „Portal Pacjenta”</w:t>
      </w:r>
      <w:r>
        <w:t xml:space="preserve"> oraz integracji z usługami e-zdrowia,</w:t>
      </w:r>
    </w:p>
    <w:p w14:paraId="3C864F26" w14:textId="77777777" w:rsidR="00C813FB" w:rsidRDefault="00E01810">
      <w:pPr>
        <w:spacing w:after="40"/>
        <w:ind w:left="255" w:hanging="113"/>
      </w:pPr>
      <w:r>
        <w:t xml:space="preserve">- </w:t>
      </w:r>
      <w:proofErr w:type="spellStart"/>
      <w:r>
        <w:t>TrustIT</w:t>
      </w:r>
      <w:proofErr w:type="spellEnd"/>
      <w:r>
        <w:t xml:space="preserve"> sp. z o.o., ul. Wróblewskiego 18/103, 93-578 Łódź, NIP 9471981427, REGON 101465940</w:t>
      </w:r>
      <w:r w:rsidR="00F9089B">
        <w:t>;</w:t>
      </w:r>
      <w:r>
        <w:t xml:space="preserve"> obsługa infrastruktury informatycznej i sieciowej,</w:t>
      </w:r>
    </w:p>
    <w:p w14:paraId="07973B6D" w14:textId="77777777" w:rsidR="00C813FB" w:rsidRDefault="00E01810">
      <w:pPr>
        <w:spacing w:after="40"/>
        <w:ind w:left="255" w:hanging="113"/>
      </w:pPr>
      <w:r>
        <w:t>- Centrale Telefoniczne Paweł Matyja, ul. Warszawska 236/5, 43-155 Bieruń, NIP 6462629132, REGON 240498089; obsługa, utrzymanie i monitoring infrastruktury centrali telefonicznej Medica oraz techniczny dostęp do nagrań rozmów telefonicznych w zakresie niezbędnym do utrzymania i obsługi systemu,</w:t>
      </w:r>
    </w:p>
    <w:p w14:paraId="4FCF772C" w14:textId="77777777" w:rsidR="00C813FB" w:rsidRDefault="00E01810">
      <w:pPr>
        <w:spacing w:after="40"/>
        <w:ind w:left="255" w:hanging="113"/>
      </w:pPr>
      <w:r>
        <w:t>- MS-</w:t>
      </w:r>
      <w:proofErr w:type="spellStart"/>
      <w:r>
        <w:t>Medical</w:t>
      </w:r>
      <w:proofErr w:type="spellEnd"/>
      <w:r>
        <w:t xml:space="preserve"> Sławomir Mika, ul. </w:t>
      </w:r>
      <w:r w:rsidR="00F11ABA">
        <w:t>K</w:t>
      </w:r>
      <w:r>
        <w:t>s. Jana Gałeczki 54, 41-500 Chorzów, NIP 6461959212, REGON 277578388 - serwis urządzeń medycznych, w ramach którego ma dostęp do danych pacjentów</w:t>
      </w:r>
      <w:r w:rsidR="001A0B44">
        <w:t xml:space="preserve"> zapisanych w pamięci </w:t>
      </w:r>
      <w:r w:rsidR="00D87755">
        <w:t xml:space="preserve">serwisowanych </w:t>
      </w:r>
      <w:r w:rsidR="001A0B44">
        <w:t>urządzeń,</w:t>
      </w:r>
      <w:r>
        <w:t xml:space="preserve"> </w:t>
      </w:r>
      <w:r w:rsidR="00D87755">
        <w:t xml:space="preserve">wyłącznie </w:t>
      </w:r>
      <w:r>
        <w:t>w zakresie niezbędnym do wykonania czynności serwisowych,</w:t>
      </w:r>
    </w:p>
    <w:p w14:paraId="651BC420" w14:textId="77777777" w:rsidR="00C813FB" w:rsidRDefault="00E01810">
      <w:pPr>
        <w:spacing w:after="40"/>
        <w:ind w:left="255" w:hanging="113"/>
      </w:pPr>
      <w:r>
        <w:t>- LH.pl sp. z o.o., pl. Wolności 6/4, 61-738 Poznań, NIP 7831711517, REGON 302693647; dostawca hostingu serwisu www.gzmedica.pl i poczty elektronicznej; w zakresie świadczonych usług przetwarza dane techniczne i logi serwera, dane przesyłane przez formularz kontaktowy oraz dane przechowywane w skrzynkach pocztowych Administratora.</w:t>
      </w:r>
    </w:p>
    <w:p w14:paraId="753FE41A" w14:textId="77777777" w:rsidR="00E01810" w:rsidRDefault="00E01810">
      <w:pPr>
        <w:spacing w:after="40"/>
        <w:ind w:left="255" w:hanging="113"/>
      </w:pPr>
      <w:r>
        <w:t xml:space="preserve">- </w:t>
      </w:r>
      <w:r w:rsidRPr="00E01810">
        <w:t>AMD TAX sp. z o.o., ul. Piwna 10, 44-100 Gliwice, NIP 6342610360, REGON 240438182</w:t>
      </w:r>
      <w:r w:rsidR="00F9089B">
        <w:t xml:space="preserve">; </w:t>
      </w:r>
      <w:r w:rsidRPr="00E01810">
        <w:t>obsługa księgowa Medica w zakresie ewidencjonowania i analizy wyciągów bankowych zawierających dane wpłacających oraz informacje o dokonywanych transakcjach.</w:t>
      </w:r>
    </w:p>
    <w:p w14:paraId="2F1EA98A" w14:textId="77777777" w:rsidR="00F9089B" w:rsidRDefault="00F9089B" w:rsidP="00F9089B">
      <w:pPr>
        <w:spacing w:after="40"/>
        <w:ind w:left="255" w:hanging="113"/>
      </w:pPr>
      <w:r>
        <w:t xml:space="preserve">- </w:t>
      </w:r>
      <w:r w:rsidRPr="00F9089B">
        <w:t>Magma Studio Dominika Piątek</w:t>
      </w:r>
      <w:r>
        <w:t xml:space="preserve">, ul. Bohaterów Monte Cassino 18 lok. 30, 40-231 Katowice, </w:t>
      </w:r>
      <w:r w:rsidRPr="00F9089B">
        <w:t>NIP</w:t>
      </w:r>
      <w:r>
        <w:t xml:space="preserve"> </w:t>
      </w:r>
      <w:r w:rsidRPr="00F9089B">
        <w:t>6272800574</w:t>
      </w:r>
      <w:r>
        <w:t xml:space="preserve">, </w:t>
      </w:r>
      <w:r w:rsidRPr="00F9089B">
        <w:t>REGON 542114570</w:t>
      </w:r>
      <w:r>
        <w:t>;</w:t>
      </w:r>
      <w:r w:rsidR="0036150D">
        <w:t xml:space="preserve"> </w:t>
      </w:r>
      <w:r w:rsidR="00104434">
        <w:t xml:space="preserve">administracja, utrzymanie i obsługa techniczna serwisu </w:t>
      </w:r>
      <w:r w:rsidR="00104434" w:rsidRPr="00104434">
        <w:t>www.gzmedica.pl</w:t>
      </w:r>
      <w:r w:rsidR="00104434">
        <w:t xml:space="preserve">, w tym dostęp do panelu administracyjnego, bazy strony oraz danych przesyłanych za pośrednictwem formularzy kontaktowych, w zakresie niezbędnym do świadczenia usług na rzecz Administratora. </w:t>
      </w:r>
    </w:p>
    <w:p w14:paraId="465AE2C8" w14:textId="77777777" w:rsidR="00C813FB" w:rsidRDefault="00E01810">
      <w:pPr>
        <w:pStyle w:val="Nagwek2"/>
      </w:pPr>
      <w:r>
        <w:rPr>
          <w:rFonts w:ascii="Calibri" w:eastAsia="Calibri" w:hAnsi="Calibri" w:cs="Calibri"/>
        </w:rPr>
        <w:t>4.3. Odbiorcy działający na własnej podstawie prawnej</w:t>
      </w:r>
    </w:p>
    <w:p w14:paraId="27BAEFB8" w14:textId="77777777" w:rsidR="00C813FB" w:rsidRDefault="00E01810">
      <w:r>
        <w:t>Dane mogą być ujawniane także podmiotom, które przetwarzają je jako odrębni administratorzy lub na podstawie wyraźnego uprawnienia ustawowego, w szczególności:</w:t>
      </w:r>
    </w:p>
    <w:p w14:paraId="498B303F" w14:textId="77777777" w:rsidR="00C813FB" w:rsidRDefault="00E01810">
      <w:pPr>
        <w:spacing w:after="40"/>
        <w:ind w:left="255" w:hanging="113"/>
      </w:pPr>
      <w:r>
        <w:t>- Narodowemu Funduszowi Zdrowia, Centrum e-Zdrowia i innym podmiotom obsługującym systemy publiczne, w zakresie wymaganym prawem,</w:t>
      </w:r>
    </w:p>
    <w:p w14:paraId="7BC6C8E2" w14:textId="77777777" w:rsidR="00C813FB" w:rsidRDefault="00E01810">
      <w:pPr>
        <w:spacing w:after="40"/>
        <w:ind w:left="255" w:hanging="113"/>
      </w:pPr>
      <w:r>
        <w:t>- Zakładowi Ubezpieczeń Społecznych, organom podatkowym, sądom, prokuraturze, Policji, Rzecznikowi Praw Pacjenta i innym uprawnionym organom,</w:t>
      </w:r>
    </w:p>
    <w:p w14:paraId="14158ACD" w14:textId="77777777" w:rsidR="00C813FB" w:rsidRDefault="00E01810">
      <w:pPr>
        <w:spacing w:after="40"/>
        <w:ind w:left="255" w:hanging="113"/>
      </w:pPr>
      <w:r>
        <w:lastRenderedPageBreak/>
        <w:t>- innym podmiotom leczniczym, osobom wykonującym zawody medyczne i laboratoriom, jeżeli jest to potrzebne do diagnostyki, leczenia lub zapewnienia ciągłości opieki,</w:t>
      </w:r>
    </w:p>
    <w:p w14:paraId="197AA853" w14:textId="77777777" w:rsidR="00C813FB" w:rsidRDefault="00E01810">
      <w:pPr>
        <w:spacing w:after="40"/>
        <w:ind w:left="255" w:hanging="113"/>
      </w:pPr>
      <w:r>
        <w:t xml:space="preserve">- partnerom diagnostycznym działającym jako odrębni administratorzy, w tym </w:t>
      </w:r>
      <w:proofErr w:type="spellStart"/>
      <w:r>
        <w:t>GynCentrum</w:t>
      </w:r>
      <w:proofErr w:type="spellEnd"/>
      <w:r>
        <w:t xml:space="preserve"> sp. z o.o., </w:t>
      </w:r>
      <w:proofErr w:type="spellStart"/>
      <w:r>
        <w:t>Synevo</w:t>
      </w:r>
      <w:proofErr w:type="spellEnd"/>
      <w:r>
        <w:t xml:space="preserve"> sp. z o.o. i </w:t>
      </w:r>
      <w:proofErr w:type="spellStart"/>
      <w:r>
        <w:t>Badaj.to</w:t>
      </w:r>
      <w:proofErr w:type="spellEnd"/>
      <w:r>
        <w:t xml:space="preserve"> sp. z o.o., w zakresie aktualnie wykonywanych usług,</w:t>
      </w:r>
    </w:p>
    <w:p w14:paraId="1198476E" w14:textId="77777777" w:rsidR="00C813FB" w:rsidRDefault="00E01810">
      <w:pPr>
        <w:spacing w:after="40"/>
        <w:ind w:left="255" w:hanging="113"/>
      </w:pPr>
      <w:r>
        <w:t xml:space="preserve">- ubezpieczycielom i operatorom prywatnych pakietów medycznych, w szczególności: Grupa VAT PZU, TU Zdrowie Świat Zdrowia, POLMED, SALTUS, JP Medica, Allianz, </w:t>
      </w:r>
      <w:r w:rsidR="0065608B">
        <w:t>E</w:t>
      </w:r>
      <w:r>
        <w:t>nel-med, LUX MED, Saneo, Compensa, VIG Zdrowie, Telmedicin i S7 HEALTH - w zakresie potrzebnym do weryfikacji uprawnień, autoryzacji i rozliczenia świadczenia,</w:t>
      </w:r>
    </w:p>
    <w:p w14:paraId="19F9012F" w14:textId="13EEDD54" w:rsidR="0074042B" w:rsidRDefault="00000000">
      <w:pPr>
        <w:spacing w:after="40"/>
        <w:ind w:left="255" w:hanging="113"/>
      </w:pPr>
      <w:r>
        <w:t xml:space="preserve">- Aiton Caldwell S.A., właściciel marki Datera, ul. C. K. Norwida 1, 80-280 Gdańsk; operator usługi SIP Trunk wykorzystywanej do zestawiania i transmisji połączeń telefonicznych. W tym zakresie przetwarza w szczególności numery telefonów, datę, godzinę, czas trwania i status połączenia, dane techniczne i transmisyjne oraz treść rozmowy w zakresie niezbędnym do jej transmisji. Datera działa jako odrębny administrator, nie świadczy </w:t>
      </w:r>
      <w:r w:rsidR="00A91038">
        <w:t xml:space="preserve">dla </w:t>
      </w:r>
      <w:r>
        <w:t>Medica usługi nagrywania rozmów i nie ma dostępu do nagrań przechowywanych w centrali,</w:t>
      </w:r>
    </w:p>
    <w:p w14:paraId="00AF20B9" w14:textId="7A40DDFF" w:rsidR="0074042B" w:rsidRDefault="00000000">
      <w:pPr>
        <w:spacing w:after="40"/>
        <w:ind w:left="255" w:hanging="113"/>
      </w:pPr>
      <w:r>
        <w:t xml:space="preserve">- P4 sp. z o.o. (Play, usługa dawnego UPC), ul. Wynalazek 1, 02-677 Warszawa; dostawca usługi dostępu do Internetu, przetwarzający dane abonenta oraz dane techniczne i transmisyjne niezbędne do zapewnienia łącza, jego bezpieczeństwa, rozliczeń, obsługi reklamacji i wykonania obowiązków prawnych. P4 działa jako odrębny administrator i nie </w:t>
      </w:r>
      <w:r w:rsidR="00A91038">
        <w:t>ma</w:t>
      </w:r>
      <w:r>
        <w:t xml:space="preserve"> dostępu do systemu MyDr EDM,</w:t>
      </w:r>
    </w:p>
    <w:p w14:paraId="598718F8" w14:textId="259173ED" w:rsidR="0074042B" w:rsidRDefault="00000000">
      <w:pPr>
        <w:spacing w:after="40"/>
        <w:ind w:left="255" w:hanging="113"/>
      </w:pPr>
      <w:r>
        <w:t>- Orange Polska S.A., Al. Jerozolimskie 160, 02-326 Warszawa; operator usług mobilnych wykorzystywanych przez Medica do wysyłania wiadomości SMS. W związku z realizacją usługi przetwarza numery nadawcy i odbiorcy, datę, godzinę i status wiadomości, dane techniczne i transmisyjne oraz treść komunikatu w zakresie niezbędnym do jego przesłania, rozliczenia, zapewnienia bezpieczeństwa i wykonania obowiązków prawnych. Orange Polska S.A. działa jako odrębny administrator i nie ma dostępu do systemu MyDr EDM, z wyjątkiem informacji, które Medica sama umieści w treści SMS,</w:t>
      </w:r>
    </w:p>
    <w:p w14:paraId="2ED5D20A" w14:textId="77777777" w:rsidR="00C813FB" w:rsidRDefault="00E01810">
      <w:pPr>
        <w:spacing w:after="40"/>
        <w:ind w:left="255" w:hanging="113"/>
      </w:pPr>
      <w:r>
        <w:t>- operatorom pocztowym i firmom kurierskim - w zakresie danych niezbędnych do nadania, przewozu i doręczenia korespondencji lub przesyłki,</w:t>
      </w:r>
    </w:p>
    <w:p w14:paraId="5BE796CF" w14:textId="77777777" w:rsidR="00C813FB" w:rsidRDefault="00E01810">
      <w:pPr>
        <w:spacing w:after="40"/>
        <w:ind w:left="255" w:hanging="113"/>
      </w:pPr>
      <w:r>
        <w:t>- bankom, agentom rozliczeniowym, operatorom terminali płatniczych oraz innym dostawcom usług płatniczych - jako odrębnym administratorom danych, w zakresie niezbędnym do autoryzacji, realizacji i rozliczenia płatności, obsługi reklamacji oraz zapobiegania nadużyciom.</w:t>
      </w:r>
    </w:p>
    <w:p w14:paraId="5E91607C" w14:textId="77777777" w:rsidR="00C813FB" w:rsidRDefault="00E01810">
      <w:r>
        <w:t>Każde ujawnienie następuje wyłącznie w niezbędnym zakresie i na podstawie przepisów prawa, umowy albo ważnego upoważnienia pacjenta.</w:t>
      </w:r>
    </w:p>
    <w:p w14:paraId="0A2F545C" w14:textId="77777777" w:rsidR="00C813FB" w:rsidRDefault="00E01810">
      <w:pPr>
        <w:pStyle w:val="Nagwek1"/>
      </w:pPr>
      <w:r>
        <w:rPr>
          <w:rFonts w:ascii="Calibri" w:eastAsia="Calibri" w:hAnsi="Calibri" w:cs="Calibri"/>
        </w:rPr>
        <w:t>5. Przekazywanie danych poza Europejski Obszar Gospodarczy</w:t>
      </w:r>
    </w:p>
    <w:p w14:paraId="54C402B2" w14:textId="77777777" w:rsidR="00C813FB" w:rsidRDefault="00E01810">
      <w:r>
        <w:t xml:space="preserve">W związku z korzystaniem z systemu MyDr EDM oraz niektórych zewnętrznych technologii informatycznych lub internetowych wybrane dane mogą być przetwarzane przez dalsze podmioty przetwarzające mające siedzibę lub serwery poza Europejskim Obszarem Gospodarczym, w szczególności w Stanach Zjednoczonych. Umowa MyDr wskazuje m.in. dostawców usług chmurowych, poczty, wsparcia klienta, telekomunikacji i obsługi zgłoszeń. Zakres dalszego powierzenia jest </w:t>
      </w:r>
      <w:r>
        <w:lastRenderedPageBreak/>
        <w:t>ograniczony do danych potrzebnych do realizacji danej usługi; nie oznacza to przekazywania każdemu dostawcy całej dokumentacji medycznej.</w:t>
      </w:r>
    </w:p>
    <w:p w14:paraId="7EA8461F" w14:textId="77777777" w:rsidR="00C813FB" w:rsidRDefault="00E01810">
      <w:r>
        <w:t>Przekazanie danych poza EOG może nastąpić wyłącznie zgodnie z rozdziałem V RODO, w szczególności na podstawie decyzji Komisji Europejskiej stwierdzającej odpowiedni stopień ochrony albo odpowiednich zabezpieczeń przewidzianych w art. 46 RODO, np. standardowych klauzul umownych, wraz z dodatkowymi środkami ochrony, gdy są wymagane.</w:t>
      </w:r>
    </w:p>
    <w:p w14:paraId="1896FCD7" w14:textId="77777777" w:rsidR="00C813FB" w:rsidRDefault="00E01810">
      <w:r>
        <w:t>Aktualna lista dalszych podmiotów przetwarzających MyDr jest dostępna na Platformie MyDr. Informacje o podstawie przekazania, stosowanych zabezpieczeniach i sposobie uzyskania ich kopii można uzyskać u pełnomocnika Administratora lub IOD. Szczegóły dotyczące technologii wykorzystywanych na stronie internetowej są także dostępne w panelu ustawień cookies.</w:t>
      </w:r>
    </w:p>
    <w:p w14:paraId="6F8CA532" w14:textId="77777777" w:rsidR="00C813FB" w:rsidRDefault="00E01810">
      <w:pPr>
        <w:pStyle w:val="Nagwek1"/>
      </w:pPr>
      <w:r>
        <w:rPr>
          <w:rFonts w:ascii="Calibri" w:eastAsia="Calibri" w:hAnsi="Calibri" w:cs="Calibri"/>
        </w:rPr>
        <w:t>6. Jak długo dane są przechowywane</w:t>
      </w:r>
    </w:p>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888"/>
        <w:gridCol w:w="5544"/>
      </w:tblGrid>
      <w:tr w:rsidR="00C813FB" w14:paraId="236727AC" w14:textId="77777777">
        <w:trPr>
          <w:cantSplit/>
          <w:tblHeader/>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1AA6195" w14:textId="77777777" w:rsidR="00C813FB" w:rsidRDefault="00E01810">
            <w:pPr>
              <w:spacing w:after="0" w:line="240" w:lineRule="auto"/>
            </w:pPr>
            <w:r>
              <w:rPr>
                <w:b/>
              </w:rPr>
              <w:t>Rodzaj danych</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06E52B2" w14:textId="77777777" w:rsidR="00C813FB" w:rsidRDefault="00E01810">
            <w:pPr>
              <w:spacing w:after="0" w:line="240" w:lineRule="auto"/>
            </w:pPr>
            <w:r>
              <w:rPr>
                <w:b/>
              </w:rPr>
              <w:t>Okres lub kryterium przechowywania</w:t>
            </w:r>
          </w:p>
        </w:tc>
      </w:tr>
      <w:tr w:rsidR="00C813FB" w14:paraId="54C5A744"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769B404" w14:textId="77777777" w:rsidR="00C813FB" w:rsidRDefault="00E01810">
            <w:pPr>
              <w:spacing w:after="0" w:line="240" w:lineRule="auto"/>
            </w:pPr>
            <w:r>
              <w:t>Dokumentacja medyczna – zasada ogólna</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D2BCF8A" w14:textId="77777777" w:rsidR="00C813FB" w:rsidRDefault="00E01810">
            <w:pPr>
              <w:spacing w:after="0" w:line="240" w:lineRule="auto"/>
            </w:pPr>
            <w:r>
              <w:t>20 lat od końca roku kalendarzowego, w którym dokonano ostatniego wpisu.</w:t>
            </w:r>
          </w:p>
        </w:tc>
      </w:tr>
      <w:tr w:rsidR="00C813FB" w14:paraId="5BF10522"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DAEB624" w14:textId="77777777" w:rsidR="00C813FB" w:rsidRDefault="00E01810">
            <w:pPr>
              <w:spacing w:after="0" w:line="240" w:lineRule="auto"/>
            </w:pPr>
            <w:r>
              <w:t>Dokumentacja w przypadku zgonu wskutek uszkodzenia ciała lub zatrucia</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28E6621" w14:textId="77777777" w:rsidR="00C813FB" w:rsidRDefault="00E01810">
            <w:pPr>
              <w:spacing w:after="0" w:line="240" w:lineRule="auto"/>
            </w:pPr>
            <w:r>
              <w:t>30 lat od końca roku kalendarzowego, w którym nastąpił zgon.</w:t>
            </w:r>
          </w:p>
        </w:tc>
      </w:tr>
      <w:tr w:rsidR="00C813FB" w14:paraId="265E9BD5"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85EE103" w14:textId="77777777" w:rsidR="00C813FB" w:rsidRDefault="00E01810">
            <w:pPr>
              <w:spacing w:after="0" w:line="240" w:lineRule="auto"/>
            </w:pPr>
            <w:r>
              <w:t>Dokumentacja zawierająca dane niezbędne do monitorowania losów krwi i jej składników</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AEB0CFF" w14:textId="77777777" w:rsidR="00C813FB" w:rsidRDefault="00E01810">
            <w:pPr>
              <w:spacing w:after="0" w:line="240" w:lineRule="auto"/>
            </w:pPr>
            <w:r>
              <w:t>30 lat od końca roku kalendarzowego, w którym dokonano ostatniego wpisu.</w:t>
            </w:r>
          </w:p>
        </w:tc>
      </w:tr>
      <w:tr w:rsidR="00C813FB" w14:paraId="0DFF1406"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68D0456" w14:textId="77777777" w:rsidR="00C813FB" w:rsidRDefault="00E01810">
            <w:pPr>
              <w:spacing w:after="0" w:line="240" w:lineRule="auto"/>
            </w:pPr>
            <w:r>
              <w:t>Zdjęcia rentgenowskie przechowywane poza dokumentacją medyczną</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AEC156F" w14:textId="77777777" w:rsidR="00C813FB" w:rsidRDefault="00E01810">
            <w:pPr>
              <w:spacing w:after="0" w:line="240" w:lineRule="auto"/>
            </w:pPr>
            <w:r>
              <w:t>10 lat od końca roku kalendarzowego, w którym wykonano zdjęcie.</w:t>
            </w:r>
          </w:p>
        </w:tc>
      </w:tr>
      <w:tr w:rsidR="00C813FB" w14:paraId="5A3164AF"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DAFF5B6" w14:textId="77777777" w:rsidR="00C813FB" w:rsidRDefault="00E01810">
            <w:pPr>
              <w:spacing w:after="0" w:line="240" w:lineRule="auto"/>
            </w:pPr>
            <w:r>
              <w:t>Skierowania i zlecenia</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271FE31" w14:textId="77777777" w:rsidR="00C813FB" w:rsidRDefault="00E01810">
            <w:pPr>
              <w:spacing w:after="0" w:line="240" w:lineRule="auto"/>
            </w:pPr>
            <w:r>
              <w:t>5 lat, gdy świadczenie zostało udzielone; 2 lata, gdy nie zostało udzielone z powodu niezgłoszenia się pacjenta – zgodnie z art. 29 ustawy o prawach pacjenta.</w:t>
            </w:r>
          </w:p>
        </w:tc>
      </w:tr>
      <w:tr w:rsidR="00C813FB" w14:paraId="485D6E81"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3F060F8" w14:textId="77777777" w:rsidR="00C813FB" w:rsidRDefault="00E01810">
            <w:pPr>
              <w:spacing w:after="0" w:line="240" w:lineRule="auto"/>
            </w:pPr>
            <w:r>
              <w:t>Dokumentacja dzieci do ukończenia 2. roku życia</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7C4EA4E" w14:textId="77777777" w:rsidR="00C813FB" w:rsidRDefault="00E01810">
            <w:pPr>
              <w:spacing w:after="0" w:line="240" w:lineRule="auto"/>
            </w:pPr>
            <w:r>
              <w:t>22 lata.</w:t>
            </w:r>
          </w:p>
        </w:tc>
      </w:tr>
      <w:tr w:rsidR="00C813FB" w14:paraId="608F102F"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3651F3C" w14:textId="77777777" w:rsidR="00C813FB" w:rsidRDefault="00E01810">
            <w:pPr>
              <w:spacing w:after="0" w:line="240" w:lineRule="auto"/>
            </w:pPr>
            <w:r>
              <w:t>Dokumenty księgowe i podatkowe</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96C0882" w14:textId="77777777" w:rsidR="00C813FB" w:rsidRDefault="00E01810">
            <w:pPr>
              <w:spacing w:after="0" w:line="240" w:lineRule="auto"/>
            </w:pPr>
            <w:r>
              <w:t>Przez okres wymagany przepisami rachunkowymi i podatkowymi, co do zasady 5 lat, licząc według zasad właściwych dla danego obowiązku.</w:t>
            </w:r>
          </w:p>
        </w:tc>
      </w:tr>
      <w:tr w:rsidR="00C813FB" w14:paraId="0A220BA1"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B6CB450" w14:textId="77777777" w:rsidR="00C813FB" w:rsidRDefault="00E01810">
            <w:pPr>
              <w:spacing w:after="0" w:line="240" w:lineRule="auto"/>
            </w:pPr>
            <w:r>
              <w:t>Korespondencja, formularz kontaktowy i dane organizacyjne wizyty niewchodzące do dokumentacji medycznej</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44E47B7" w14:textId="77777777" w:rsidR="00C813FB" w:rsidRDefault="00E01810">
            <w:pPr>
              <w:spacing w:after="0" w:line="240" w:lineRule="auto"/>
            </w:pPr>
            <w:r>
              <w:t>Przez czas niezbędny do obsługi sprawy, a następnie do upływu okresu potrzebnego do wykazania prawidłowości działania lub przedawnienia roszczeń.</w:t>
            </w:r>
          </w:p>
        </w:tc>
      </w:tr>
      <w:tr w:rsidR="00C813FB" w14:paraId="4A4DD2CB"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5724D24A" w14:textId="77777777" w:rsidR="00C813FB" w:rsidRDefault="00E01810">
            <w:pPr>
              <w:spacing w:after="0" w:line="240" w:lineRule="auto"/>
            </w:pPr>
            <w:r>
              <w:lastRenderedPageBreak/>
              <w:t>Dane przetwarzane w celu ustalenia, dochodzenia lub obrony roszczeń</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AA44091" w14:textId="77777777" w:rsidR="00C813FB" w:rsidRDefault="00E01810">
            <w:pPr>
              <w:spacing w:after="0" w:line="240" w:lineRule="auto"/>
            </w:pPr>
            <w:r>
              <w:t>Do upływu terminu przedawnienia, a w razie wszczęcia postępowania – do jego prawomocnego zakończenia i wykonania rozstrzygnięcia.</w:t>
            </w:r>
          </w:p>
        </w:tc>
      </w:tr>
      <w:tr w:rsidR="00C813FB" w14:paraId="24AA4D84"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69C809A" w14:textId="77777777" w:rsidR="00C813FB" w:rsidRDefault="00E01810">
            <w:pPr>
              <w:spacing w:after="0" w:line="240" w:lineRule="auto"/>
            </w:pPr>
            <w:r>
              <w:t>Nagrania rozmów telefonicznych</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5CFE5907" w14:textId="77777777" w:rsidR="00C813FB" w:rsidRDefault="00E01810">
            <w:pPr>
              <w:spacing w:after="0" w:line="240" w:lineRule="auto"/>
            </w:pPr>
            <w:r>
              <w:t>3 miesiące od dnia rozmowy. Jeżeli konkretne nagranie stanowi lub może stanowić dowód w związku ze skargą, reklamacją, incydentem lub roszczeniem, może zostać wyodrębnione i przechowywane do zakończenia sprawy oraz upływu właściwego terminu przedawnienia.</w:t>
            </w:r>
          </w:p>
        </w:tc>
      </w:tr>
      <w:tr w:rsidR="00C813FB" w14:paraId="33CEC596"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46C90FA" w14:textId="77777777" w:rsidR="00C813FB" w:rsidRDefault="00E01810">
            <w:pPr>
              <w:spacing w:after="0" w:line="240" w:lineRule="auto"/>
            </w:pPr>
            <w:r>
              <w:t>Nagrania monitoringu wizyjnego</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402A05C" w14:textId="77777777" w:rsidR="00C813FB" w:rsidRDefault="00E01810">
            <w:pPr>
              <w:spacing w:after="0" w:line="240" w:lineRule="auto"/>
            </w:pPr>
            <w:r>
              <w:t>Co do zasady 14 dni. Jeżeli nagranie stanowi lub może stanowić dowód – do czasu prawomocnego zakończenia właściwego postępowania. Ustawowy okres nie może przekraczać 3 miesięcy, chyba że przepis odrębny stanowi inaczej.</w:t>
            </w:r>
          </w:p>
        </w:tc>
      </w:tr>
      <w:tr w:rsidR="00C813FB" w14:paraId="5C3A1A31"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1E7ECF01" w14:textId="77777777" w:rsidR="00C813FB" w:rsidRDefault="00E01810">
            <w:pPr>
              <w:spacing w:after="0" w:line="240" w:lineRule="auto"/>
            </w:pPr>
            <w:r>
              <w:t>Logi i dane techniczne serwisu</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1D82618" w14:textId="77777777" w:rsidR="00C813FB" w:rsidRDefault="00E01810">
            <w:pPr>
              <w:spacing w:after="0" w:line="240" w:lineRule="auto"/>
            </w:pPr>
            <w:r>
              <w:t>Przez okres potrzebny do zapewnienia bezpieczeństwa, diagnostyki błędów i wykazania prawidłowości działania, zgodnie z przyjętą polityką retencji.</w:t>
            </w:r>
          </w:p>
        </w:tc>
      </w:tr>
      <w:tr w:rsidR="00C813FB" w14:paraId="7A6F46DF" w14:textId="77777777">
        <w:trPr>
          <w:cantSplit/>
          <w:jc w:val="center"/>
        </w:trPr>
        <w:tc>
          <w:tcPr>
            <w:tcW w:w="388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3C0BC1D7" w14:textId="77777777" w:rsidR="00C813FB" w:rsidRDefault="00E01810">
            <w:pPr>
              <w:spacing w:after="0" w:line="240" w:lineRule="auto"/>
            </w:pPr>
            <w:r>
              <w:t>Pliki cookies i podobne technologie</w:t>
            </w:r>
          </w:p>
        </w:tc>
        <w:tc>
          <w:tcPr>
            <w:tcW w:w="554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A181F23" w14:textId="77777777" w:rsidR="00C813FB" w:rsidRDefault="00E01810">
            <w:pPr>
              <w:spacing w:after="0" w:line="240" w:lineRule="auto"/>
            </w:pPr>
            <w:r>
              <w:t>Przez czas wskazany w panelu ustawień cookies albo do wycofania zgody/usunięcia pliku, zależnie od rodzaju technologii.</w:t>
            </w:r>
          </w:p>
        </w:tc>
      </w:tr>
    </w:tbl>
    <w:p w14:paraId="19FECBF4" w14:textId="77777777" w:rsidR="00C813FB" w:rsidRDefault="00E01810">
      <w:r>
        <w:t xml:space="preserve">Po upływie właściwego okresu dane są usuwane, niszczone albo </w:t>
      </w:r>
      <w:proofErr w:type="spellStart"/>
      <w:r>
        <w:t>anonimizowane</w:t>
      </w:r>
      <w:proofErr w:type="spellEnd"/>
      <w:r>
        <w:t>, chyba że dalsze przechowywanie wynika z prawa lub jest potrzebne do ochrony roszczeń.</w:t>
      </w:r>
    </w:p>
    <w:p w14:paraId="5EE31BB1" w14:textId="77777777" w:rsidR="00C813FB" w:rsidRDefault="00E01810">
      <w:pPr>
        <w:pStyle w:val="Nagwek1"/>
      </w:pPr>
      <w:r>
        <w:rPr>
          <w:rFonts w:ascii="Calibri" w:eastAsia="Calibri" w:hAnsi="Calibri" w:cs="Calibri"/>
        </w:rPr>
        <w:t>7. Prawa osób, których dane dotyczą</w:t>
      </w:r>
    </w:p>
    <w:p w14:paraId="49AA3D27" w14:textId="77777777" w:rsidR="00C813FB" w:rsidRDefault="00E01810">
      <w:r>
        <w:t>W granicach przewidzianych w RODO przysługuje Państwu prawo do:</w:t>
      </w:r>
    </w:p>
    <w:p w14:paraId="22F8D191" w14:textId="77777777" w:rsidR="00C813FB" w:rsidRDefault="00E01810">
      <w:pPr>
        <w:spacing w:after="40"/>
        <w:ind w:left="255" w:hanging="113"/>
      </w:pPr>
      <w:r>
        <w:t>- dostępu do danych – uzyskania potwierdzenia, informacji o przetwarzaniu i kopii danych; prawo to jest odrębne od prawa pacjenta do dokumentacji medycznej,</w:t>
      </w:r>
    </w:p>
    <w:p w14:paraId="3E8C7DB2" w14:textId="77777777" w:rsidR="00C813FB" w:rsidRDefault="00E01810">
      <w:pPr>
        <w:spacing w:after="40"/>
        <w:ind w:left="255" w:hanging="113"/>
      </w:pPr>
      <w:r>
        <w:t>- sprostowania i uzupełnienia – poprawienia nieprawidłowych danych; wpisy w dokumentacji medycznej koryguje się zgodnie z przepisami o dokumentacji, bez usuwania historii zmian,</w:t>
      </w:r>
    </w:p>
    <w:p w14:paraId="2EBEDD39" w14:textId="77777777" w:rsidR="00C813FB" w:rsidRDefault="00E01810">
      <w:pPr>
        <w:spacing w:after="40"/>
        <w:ind w:left="255" w:hanging="113"/>
      </w:pPr>
      <w:r>
        <w:t>- ograniczenia przetwarzania – w przypadkach określonych w art. 18 RODO,</w:t>
      </w:r>
    </w:p>
    <w:p w14:paraId="6B399917" w14:textId="77777777" w:rsidR="00C813FB" w:rsidRDefault="00E01810">
      <w:pPr>
        <w:spacing w:after="40"/>
        <w:ind w:left="255" w:hanging="113"/>
      </w:pPr>
      <w:r>
        <w:t>- usunięcia danych – wyłącznie gdy zachodzą przesłanki z art. 17 RODO; prawo to co do zasady nie pozwala usunąć dokumentacji medycznej przed upływem ustawowego okresu przechowywania,</w:t>
      </w:r>
    </w:p>
    <w:p w14:paraId="1BB2E8D7" w14:textId="77777777" w:rsidR="00C813FB" w:rsidRDefault="00E01810">
      <w:pPr>
        <w:spacing w:after="40"/>
        <w:ind w:left="255" w:hanging="113"/>
      </w:pPr>
      <w:r>
        <w:t>- przenoszenia danych – gdy przetwarzanie odbywa się automatycznie na podstawie zgody lub umowy i spełnione są warunki art. 20 RODO,</w:t>
      </w:r>
    </w:p>
    <w:p w14:paraId="399B3FB8" w14:textId="77777777" w:rsidR="00C813FB" w:rsidRDefault="00E01810">
      <w:pPr>
        <w:spacing w:after="40"/>
        <w:ind w:left="255" w:hanging="113"/>
      </w:pPr>
      <w:r>
        <w:t>- sprzeciwu – gdy podstawą przetwarzania jest art. 6 ust. 1 lit. f RODO, z przyczyn związanych ze szczególną sytuacją,</w:t>
      </w:r>
    </w:p>
    <w:p w14:paraId="13E857DA" w14:textId="77777777" w:rsidR="00C813FB" w:rsidRDefault="00E01810">
      <w:pPr>
        <w:spacing w:after="40"/>
        <w:ind w:left="255" w:hanging="113"/>
      </w:pPr>
      <w:r>
        <w:lastRenderedPageBreak/>
        <w:t>- cofnięcia zgody – w dowolnym momencie, jeżeli dane są przetwarzane na podstawie zgody; cofnięcie nie wpływa na zgodność wcześniejszego przetwarzania i nie dotyczy danych przetwarzanych z obowiązku prawnego,</w:t>
      </w:r>
    </w:p>
    <w:p w14:paraId="537F1026" w14:textId="77777777" w:rsidR="00C813FB" w:rsidRDefault="00E01810">
      <w:pPr>
        <w:spacing w:after="40"/>
        <w:ind w:left="255" w:hanging="113"/>
      </w:pPr>
      <w:r>
        <w:t>- wniesienia skargi – do Prezesa Urzędu Ochrony Danych Osobowych, jeżeli uznają Państwo, że dane są przetwarzane niezgodnie z prawem.</w:t>
      </w:r>
    </w:p>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9432"/>
      </w:tblGrid>
      <w:tr w:rsidR="00C813FB" w14:paraId="60E878CA" w14:textId="77777777">
        <w:trPr>
          <w:cantSplit/>
          <w:jc w:val="center"/>
        </w:trPr>
        <w:tc>
          <w:tcPr>
            <w:tcW w:w="9432"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70" w:type="dxa"/>
              <w:bottom w:w="100" w:type="dxa"/>
              <w:right w:w="170" w:type="dxa"/>
            </w:tcMar>
            <w:vAlign w:val="center"/>
          </w:tcPr>
          <w:p w14:paraId="4C9B665C" w14:textId="77777777" w:rsidR="00C813FB" w:rsidRDefault="00E01810">
            <w:pPr>
              <w:spacing w:after="0"/>
            </w:pPr>
            <w:r>
              <w:rPr>
                <w:b/>
              </w:rPr>
              <w:t>Dostęp do dokumentacji medycznej</w:t>
            </w:r>
          </w:p>
          <w:p w14:paraId="00B2A820" w14:textId="77777777" w:rsidR="00C813FB" w:rsidRDefault="00E01810">
            <w:pPr>
              <w:spacing w:after="0" w:line="259" w:lineRule="auto"/>
            </w:pPr>
            <w:r>
              <w:t>Prawo dostępu do danych na podstawie art. 15 RODO jest odrębne od prawa pacjenta do informacji o stanie zdrowia i prawa dostępu do dokumentacji medycznej na podstawie ustawy o prawach pacjenta. Żądanie zostanie zrealizowane według podstawy i zakresu wskazanego przez pacjenta.</w:t>
            </w:r>
          </w:p>
        </w:tc>
      </w:tr>
    </w:tbl>
    <w:p w14:paraId="516EBAD2" w14:textId="77777777" w:rsidR="00C813FB" w:rsidRDefault="00E01810">
      <w:r>
        <w:t>Żądania dotyczące realizacji praw można kierować do Administratora za pośrednictwem pełnomocnika: Kariny Łaszewskiej, e-mail karina.laszewska@gzmedica.pl, tel. 571 364 491, albo pisemnie na adres siedziby. W sprawach związanych z przetwarzaniem danych można kontaktować się także z IOD:</w:t>
      </w:r>
      <w:r w:rsidR="005E7AA1" w:rsidRPr="005E7AA1">
        <w:t xml:space="preserve"> iod@gzmedica.pl</w:t>
      </w:r>
      <w:r>
        <w:t>, tel. 32 241 38 65. Administrator może poprosić o informacje potrzebne do potwierdzenia tożsamości. Odpowiedź jest udzielana bez zbędnej zwłoki, co do zasady w terminie miesiąca, z możliwością przedłużenia zgodnie z art. 12 RODO.</w:t>
      </w:r>
    </w:p>
    <w:p w14:paraId="2001DCA3" w14:textId="77777777" w:rsidR="00C813FB" w:rsidRDefault="00E01810">
      <w:pPr>
        <w:pStyle w:val="Nagwek1"/>
      </w:pPr>
      <w:r>
        <w:rPr>
          <w:rFonts w:ascii="Calibri" w:eastAsia="Calibri" w:hAnsi="Calibri" w:cs="Calibri"/>
        </w:rPr>
        <w:t>8. Czy podanie danych jest obowiązkowe</w:t>
      </w:r>
    </w:p>
    <w:p w14:paraId="027A2499" w14:textId="77777777" w:rsidR="00C813FB" w:rsidRDefault="00E01810">
      <w:pPr>
        <w:spacing w:after="40"/>
        <w:ind w:left="255" w:hanging="113"/>
      </w:pPr>
      <w:r>
        <w:t>- Dane wymagane przez przepisy prawa medycznego i potrzebne do identyfikacji pacjenta, udzielenia świadczenia oraz prowadzenia dokumentacji są niezbędne. Brak tych danych może uniemożliwić rejestrację lub realizację świadczenia w zwykłym trybie. Nie dotyczy to sytuacji, w których przepisy nakazują udzielenie niezbędnej pomocy mimo braku pełnych danych.</w:t>
      </w:r>
    </w:p>
    <w:p w14:paraId="22DAAAB8" w14:textId="77777777" w:rsidR="00C813FB" w:rsidRDefault="00E01810">
      <w:pPr>
        <w:spacing w:after="40"/>
        <w:ind w:left="255" w:hanging="113"/>
      </w:pPr>
      <w:r>
        <w:t>- Dane potrzebne do odpłatnej usługi lub rozliczenia pakietu medycznego są wymogiem umownym. Brak danych może uniemożliwić zawarcie lub wykonanie umowy albo rozliczenie świadczenia.</w:t>
      </w:r>
    </w:p>
    <w:p w14:paraId="39D423F9" w14:textId="77777777" w:rsidR="00C813FB" w:rsidRDefault="00E01810">
      <w:pPr>
        <w:spacing w:after="40"/>
        <w:ind w:left="255" w:hanging="113"/>
      </w:pPr>
      <w:r>
        <w:t>- Podanie numeru telefonu lub adresu e-mail jest co do zasady dobrowolne, ale może być potrzebne do potwierdzania wizyt, teleporady, obsługi portalu pacjenta lub wysłania dokumentów w wybrany sposób.</w:t>
      </w:r>
    </w:p>
    <w:p w14:paraId="1A74CABF" w14:textId="77777777" w:rsidR="00C813FB" w:rsidRDefault="00E01810">
      <w:pPr>
        <w:spacing w:after="40"/>
        <w:ind w:left="255" w:hanging="113"/>
      </w:pPr>
      <w:r>
        <w:t>- Dane do faktury są wymagane, gdy pacjent żąda wystawienia dokumentu na określony podmiot.</w:t>
      </w:r>
    </w:p>
    <w:p w14:paraId="0D92B936" w14:textId="77777777" w:rsidR="00C813FB" w:rsidRDefault="00E01810">
      <w:pPr>
        <w:spacing w:after="40"/>
        <w:ind w:left="255" w:hanging="113"/>
      </w:pPr>
      <w:r>
        <w:t>- Dane przedstawiciela lub osoby upoważnionej są potrzebne do zweryfikowania uprawnienia do działania w imieniu pacjenta.</w:t>
      </w:r>
    </w:p>
    <w:p w14:paraId="50D80C75" w14:textId="77777777" w:rsidR="00C813FB" w:rsidRDefault="00E01810">
      <w:pPr>
        <w:spacing w:after="40"/>
        <w:ind w:left="255" w:hanging="113"/>
      </w:pPr>
      <w:r>
        <w:t>- Zgoda na opcjonalne cookies jest dobrowolna. Jej brak nie wpływa na możliwość korzystania z podstawowych funkcji strony ani na dostęp do świadczeń medycznych.</w:t>
      </w:r>
    </w:p>
    <w:p w14:paraId="0B62B50E" w14:textId="77777777" w:rsidR="00C813FB" w:rsidRDefault="00E01810">
      <w:pPr>
        <w:pStyle w:val="Nagwek1"/>
      </w:pPr>
      <w:r>
        <w:rPr>
          <w:rFonts w:ascii="Calibri" w:eastAsia="Calibri" w:hAnsi="Calibri" w:cs="Calibri"/>
        </w:rPr>
        <w:t>9. Zautomatyzowane podejmowanie decyzji i profilowanie</w:t>
      </w:r>
    </w:p>
    <w:p w14:paraId="64C897AD" w14:textId="77777777" w:rsidR="00C813FB" w:rsidRDefault="00E01810">
      <w:r>
        <w:t>Medica nie podejmuje wobec pacjentów decyzji dotyczących leczenia lub dostępu do świadczeń wyłącznie w sposób zautomatyzowany, który wywoływałby skutki prawne lub w podobny sposób istotnie wpływał na pacjenta.</w:t>
      </w:r>
    </w:p>
    <w:p w14:paraId="7E6FAD86" w14:textId="77777777" w:rsidR="00C813FB" w:rsidRDefault="00E01810">
      <w:r>
        <w:t>Opcjonalne narzędzia analityczne lub marketingowe na stronie mogą dokonywać pomiaru aktywności albo tworzyć grupy odbiorców wyłącznie po udzieleniu odpowiedniej zgody. Takie działania nie wpływają na udzielanie świadczeń zdrowotnych i nie obejmują dokumentacji medycznej.</w:t>
      </w:r>
    </w:p>
    <w:p w14:paraId="1D60DA2E" w14:textId="77777777" w:rsidR="00C813FB" w:rsidRDefault="00E01810">
      <w:pPr>
        <w:pStyle w:val="Nagwek1"/>
      </w:pPr>
      <w:r>
        <w:rPr>
          <w:rFonts w:ascii="Calibri" w:eastAsia="Calibri" w:hAnsi="Calibri" w:cs="Calibri"/>
        </w:rPr>
        <w:lastRenderedPageBreak/>
        <w:t>10. Dane użytkowników serwisu www.gzmedica.pl i formularza kontaktowego</w:t>
      </w:r>
    </w:p>
    <w:p w14:paraId="279ECACA" w14:textId="77777777" w:rsidR="00C813FB" w:rsidRDefault="00E01810">
      <w:pPr>
        <w:pStyle w:val="Nagwek2"/>
      </w:pPr>
      <w:r>
        <w:rPr>
          <w:rFonts w:ascii="Calibri" w:eastAsia="Calibri" w:hAnsi="Calibri" w:cs="Calibri"/>
        </w:rPr>
        <w:t>10.1. Logi i bezpieczeństwo strony</w:t>
      </w:r>
    </w:p>
    <w:p w14:paraId="11D66414" w14:textId="77777777" w:rsidR="00C813FB" w:rsidRDefault="00E01810">
      <w:r>
        <w:t>Podczas korzystania z serwisu mogą być automatycznie zapisywane dane techniczne, takie jak adres IP, data i czas połączenia, adres żądanego zasobu, informacje o przeglądarce i urządzeniu oraz dane o błędach. Są one wykorzystywane do zapewnienia bezpieczeństwa, stabilności, diagnostyki i przeciwdziałania nadużyciom na podstawie art. 6 ust. 1 lit. f RODO.</w:t>
      </w:r>
    </w:p>
    <w:p w14:paraId="68CA0BAF" w14:textId="77777777" w:rsidR="00C813FB" w:rsidRDefault="00E01810">
      <w:pPr>
        <w:pStyle w:val="Nagwek2"/>
      </w:pPr>
      <w:r>
        <w:rPr>
          <w:rFonts w:ascii="Calibri" w:eastAsia="Calibri" w:hAnsi="Calibri" w:cs="Calibri"/>
        </w:rPr>
        <w:t>10.2. Formularz kontaktowy</w:t>
      </w:r>
    </w:p>
    <w:p w14:paraId="2A2F3029" w14:textId="77777777" w:rsidR="00C813FB" w:rsidRDefault="00E01810">
      <w:r>
        <w:t>Za pomocą formularza mogą być zbierane: imię i nazwisko, adres e-mail, temat i treść wiadomości. Dane są wykorzystywane do obsługi zapytania. Podstawą jest art. 6 ust. 1 lit. b RODO, gdy wiadomość zmierza do umówienia lub wykonania usługi, albo art. 6 ust. 1 lit. f RODO – prawnie uzasadniony interes polegający na prowadzeniu korespondencji i udzielaniu odpowiedzi.</w:t>
      </w:r>
    </w:p>
    <w:p w14:paraId="6F576AD6" w14:textId="77777777" w:rsidR="00C813FB" w:rsidRDefault="00E01810">
      <w:r>
        <w:t>Do obsługi zwykłego zapytania nie jest potrzebna odrębna zgoda na przetwarzanie danych. Formularz powinien umożliwiać zapoznanie się z niniejszą informacją, a ewentualna zgoda powinna dotyczyć wyłącznie odrębnego, dobrowolnego celu.</w:t>
      </w:r>
    </w:p>
    <w:p w14:paraId="07AA7AB3" w14:textId="77777777" w:rsidR="00C813FB" w:rsidRDefault="00E01810">
      <w:r>
        <w:t>Nie należy przesyłać przez ogólny formularz nadmiarowych informacji o stanie zdrowia. Jeżeli ich podanie jest konieczne do obsługi świadczenia, są one przetwarzane w celu zdrowotnym na podstawie art. 9 ust. 2 lit. h RODO i właściwych przepisów prawa medycznego.</w:t>
      </w:r>
    </w:p>
    <w:p w14:paraId="3231C852" w14:textId="77777777" w:rsidR="00C813FB" w:rsidRDefault="00E01810">
      <w:pPr>
        <w:pStyle w:val="Nagwek2"/>
      </w:pPr>
      <w:r>
        <w:rPr>
          <w:rFonts w:ascii="Calibri" w:eastAsia="Calibri" w:hAnsi="Calibri" w:cs="Calibri"/>
        </w:rPr>
        <w:t>10.3. Rejestracja online, konto pacjenta i usługi zewnętrzne</w:t>
      </w:r>
    </w:p>
    <w:p w14:paraId="3ADEBA78" w14:textId="77777777" w:rsidR="00C813FB" w:rsidRDefault="00E01810">
      <w:r>
        <w:t>Serwis udostępnia narzędzie MyDr służące do rejestracji online i logowania do konta pacjenta. Dane wprowadzane w tym narzędziu są przekazywane do systemu MyDr. W zakresie systemu MyDr EDM MyDr działa jako podmiot przetwarzający dane na rzecz Medica, natomiast w zakresie własnego konta pacjenta i usług świadczonych bezpośrednio użytkownikowi może działać jako odrębny administrator zgodnie z własną informacją o przetwarzaniu danych.</w:t>
      </w:r>
    </w:p>
    <w:p w14:paraId="0DA46EC7" w14:textId="77777777" w:rsidR="00C813FB" w:rsidRDefault="00E01810">
      <w:r>
        <w:t xml:space="preserve">Serwis może także zawierać osadzone mapy, materiały lub inne elementy dostarczane przez podmioty zewnętrzne oraz narzędzia zarządzania </w:t>
      </w:r>
      <w:proofErr w:type="spellStart"/>
      <w:r>
        <w:t>tagami</w:t>
      </w:r>
      <w:proofErr w:type="spellEnd"/>
      <w:r>
        <w:t>. Uruchomienie treści niebędących technicznie niezbędnymi powinno następować zgodnie z wyborem użytkownika dokonanym w panelu cookies. Dostawcy takich usług mogą otrzymywać dane techniczne, w szczególności adres IP i informacje o urządzeniu.</w:t>
      </w:r>
    </w:p>
    <w:p w14:paraId="783A9252" w14:textId="77777777" w:rsidR="00C813FB" w:rsidRDefault="00E01810">
      <w:pPr>
        <w:pStyle w:val="Nagwek1"/>
      </w:pPr>
      <w:r>
        <w:rPr>
          <w:rFonts w:ascii="Calibri" w:eastAsia="Calibri" w:hAnsi="Calibri" w:cs="Calibri"/>
        </w:rPr>
        <w:t>11. Pliki cookies i podobne technologie</w:t>
      </w:r>
    </w:p>
    <w:p w14:paraId="7A0C3F4F" w14:textId="77777777" w:rsidR="00C813FB" w:rsidRDefault="00E01810">
      <w:r>
        <w:t>Pliki cookies to informacje zapisywane w urządzeniu użytkownika lub odczytywane z tego urządzenia. Serwis może korzystać także z podobnych technologii, np. lokalnej pamięci przeglądarki lub identyfikatorów związanych z osadzonymi usługami.</w:t>
      </w:r>
    </w:p>
    <w:p w14:paraId="263A1324" w14:textId="77777777" w:rsidR="002F022B" w:rsidRDefault="002F022B"/>
    <w:p w14:paraId="353A4A57" w14:textId="77777777" w:rsidR="002F022B" w:rsidRDefault="002F022B"/>
    <w:p w14:paraId="51E017A4" w14:textId="77777777" w:rsidR="002F022B" w:rsidRDefault="002F022B"/>
    <w:p w14:paraId="69F5B559" w14:textId="77777777" w:rsidR="002F022B" w:rsidRDefault="002F022B"/>
    <w:p w14:paraId="0030B260" w14:textId="77777777" w:rsidR="002F022B" w:rsidRDefault="002F022B"/>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384"/>
        <w:gridCol w:w="3168"/>
        <w:gridCol w:w="2880"/>
      </w:tblGrid>
      <w:tr w:rsidR="00C813FB" w14:paraId="551A9B51" w14:textId="77777777">
        <w:trPr>
          <w:cantSplit/>
          <w:tblHeader/>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2E5ACB7" w14:textId="77777777" w:rsidR="00C813FB" w:rsidRDefault="00E01810">
            <w:pPr>
              <w:spacing w:after="0" w:line="240" w:lineRule="auto"/>
            </w:pPr>
            <w:r>
              <w:rPr>
                <w:b/>
              </w:rPr>
              <w:lastRenderedPageBreak/>
              <w:t>Kategoria</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01FBB6E" w14:textId="77777777" w:rsidR="00C813FB" w:rsidRDefault="00E01810">
            <w:pPr>
              <w:spacing w:after="0" w:line="240" w:lineRule="auto"/>
            </w:pPr>
            <w:r>
              <w:rPr>
                <w:b/>
              </w:rPr>
              <w:t>Cel</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5C66215C" w14:textId="77777777" w:rsidR="00C813FB" w:rsidRDefault="00E01810">
            <w:pPr>
              <w:spacing w:after="0" w:line="240" w:lineRule="auto"/>
            </w:pPr>
            <w:r>
              <w:rPr>
                <w:b/>
              </w:rPr>
              <w:t>Zasada uruchomienia</w:t>
            </w:r>
          </w:p>
        </w:tc>
      </w:tr>
      <w:tr w:rsidR="00C813FB" w14:paraId="07339AD9"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78C552EE" w14:textId="77777777" w:rsidR="00C813FB" w:rsidRDefault="00E01810">
            <w:pPr>
              <w:spacing w:after="0" w:line="240" w:lineRule="auto"/>
            </w:pPr>
            <w:r>
              <w:t>Niezbędne</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50B72DD" w14:textId="77777777" w:rsidR="00C813FB" w:rsidRDefault="00E01810">
            <w:pPr>
              <w:spacing w:after="0" w:line="240" w:lineRule="auto"/>
            </w:pPr>
            <w:r>
              <w:t>Działanie strony, bezpieczeństwo, zapamiętanie wyboru prywatności, realizacja usługi żądanej przez użytkownika.</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342729B" w14:textId="77777777" w:rsidR="00C813FB" w:rsidRDefault="00E01810">
            <w:pPr>
              <w:spacing w:after="0" w:line="240" w:lineRule="auto"/>
            </w:pPr>
            <w:r>
              <w:t>Mogą działać bez zgody w zakresie wyjątku z art. 399 ust. 3 PKE.</w:t>
            </w:r>
          </w:p>
        </w:tc>
      </w:tr>
      <w:tr w:rsidR="00C813FB" w14:paraId="0B81CC0D"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1C837F1" w14:textId="77777777" w:rsidR="00C813FB" w:rsidRDefault="00E01810">
            <w:pPr>
              <w:spacing w:after="0" w:line="240" w:lineRule="auto"/>
            </w:pPr>
            <w:r>
              <w:t>Funkcjonalne</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591712D5" w14:textId="77777777" w:rsidR="00C813FB" w:rsidRDefault="00E01810">
            <w:pPr>
              <w:spacing w:after="0" w:line="240" w:lineRule="auto"/>
            </w:pPr>
            <w:r>
              <w:t>Dodatkowe funkcje, np. osadzone mapy lub zapamiętanie preferencji wykraczających poza funkcje konieczne.</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53A6000" w14:textId="77777777" w:rsidR="00C813FB" w:rsidRDefault="00E01810">
            <w:pPr>
              <w:spacing w:after="0" w:line="240" w:lineRule="auto"/>
            </w:pPr>
            <w:r>
              <w:t>Tylko po zgodzie, jeżeli nie są niezbędne do usługi wyraźnie żądanej przez użytkownika.</w:t>
            </w:r>
          </w:p>
        </w:tc>
      </w:tr>
      <w:tr w:rsidR="00C813FB" w14:paraId="500EF6E4"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0D7DBF5B" w14:textId="77777777" w:rsidR="00C813FB" w:rsidRDefault="00E01810">
            <w:pPr>
              <w:spacing w:after="0" w:line="240" w:lineRule="auto"/>
            </w:pPr>
            <w:r>
              <w:t>Analityczne</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2C22B51D" w14:textId="77777777" w:rsidR="00C813FB" w:rsidRDefault="00E01810">
            <w:pPr>
              <w:spacing w:after="0" w:line="240" w:lineRule="auto"/>
            </w:pPr>
            <w:r>
              <w:t>Pomiar korzystania ze strony, statystyka, poprawa działania i treści.</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4A8AF612" w14:textId="77777777" w:rsidR="00C813FB" w:rsidRDefault="00E01810">
            <w:pPr>
              <w:spacing w:after="0" w:line="240" w:lineRule="auto"/>
            </w:pPr>
            <w:r>
              <w:t>Tylko po uprzedniej zgodzie.</w:t>
            </w:r>
          </w:p>
        </w:tc>
      </w:tr>
      <w:tr w:rsidR="00C813FB" w14:paraId="645B2D82" w14:textId="77777777">
        <w:trPr>
          <w:cantSplit/>
          <w:jc w:val="center"/>
        </w:trPr>
        <w:tc>
          <w:tcPr>
            <w:tcW w:w="3384"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922674F" w14:textId="77777777" w:rsidR="00C813FB" w:rsidRDefault="00E01810">
            <w:pPr>
              <w:spacing w:after="0" w:line="240" w:lineRule="auto"/>
            </w:pPr>
            <w:r>
              <w:t>Marketingowe</w:t>
            </w:r>
          </w:p>
        </w:tc>
        <w:tc>
          <w:tcPr>
            <w:tcW w:w="3168"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7E243C6" w14:textId="77777777" w:rsidR="00C813FB" w:rsidRDefault="00E01810">
            <w:pPr>
              <w:spacing w:after="0" w:line="240" w:lineRule="auto"/>
            </w:pPr>
            <w:r>
              <w:t>Pomiar kampanii, dopasowanie i ograniczanie powtarzalności reklam, tworzenie grup odbiorców.</w:t>
            </w:r>
          </w:p>
        </w:tc>
        <w:tc>
          <w:tcPr>
            <w:tcW w:w="2880"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10" w:type="dxa"/>
              <w:bottom w:w="100" w:type="dxa"/>
              <w:right w:w="110" w:type="dxa"/>
            </w:tcMar>
            <w:vAlign w:val="center"/>
          </w:tcPr>
          <w:p w14:paraId="6E4EE95B" w14:textId="77777777" w:rsidR="00C813FB" w:rsidRDefault="00E01810">
            <w:pPr>
              <w:spacing w:after="0" w:line="240" w:lineRule="auto"/>
            </w:pPr>
            <w:r>
              <w:t>Tylko po uprzedniej, dobrowolnej zgodzie.</w:t>
            </w:r>
          </w:p>
        </w:tc>
      </w:tr>
    </w:tbl>
    <w:p w14:paraId="18EDD255" w14:textId="77777777" w:rsidR="00C813FB" w:rsidRDefault="00E01810">
      <w:r>
        <w:t>Przed zapisaniem lub odczytem technologii opcjonalnych użytkownik powinien otrzymać jednoznaczną, łatwą i zrozumiałą informację o celu oraz mieć możliwość udzielenia albo odmowy zgody. Odmowa powinna być równie łatwa jak akceptacja, a zgodę można w dowolnym momencie zmienić lub wycofać w panelu ustawień cookies.</w:t>
      </w:r>
    </w:p>
    <w:p w14:paraId="76AAD540" w14:textId="77777777" w:rsidR="00C813FB" w:rsidRDefault="00E01810">
      <w:r>
        <w:t>Szczegółowy wykaz aktualnie używanych technologii powinien wskazywać co najmniej nazwę, dostawcę, cel, kategorię i czas działania. Informacje te należy utrzymywać w panelu cookies zgodnie z faktyczną konfiguracją serwisu.</w:t>
      </w:r>
    </w:p>
    <w:p w14:paraId="12C3F84E" w14:textId="77777777" w:rsidR="00C813FB" w:rsidRDefault="00E01810">
      <w:r>
        <w:t>Niezależnie od panelu użytkownik może zarządzać cookies w ustawieniach przeglądarki. Zablokowanie technologii niezbędnych może jednak wpłynąć na działanie niektórych funkcji serwisu.</w:t>
      </w:r>
    </w:p>
    <w:p w14:paraId="03198C26" w14:textId="77777777" w:rsidR="00B15D34" w:rsidRDefault="00E01810">
      <w:pPr>
        <w:pStyle w:val="Nagwek1"/>
      </w:pPr>
      <w:r>
        <w:rPr>
          <w:rFonts w:ascii="Calibri" w:eastAsia="Calibri" w:hAnsi="Calibri"/>
        </w:rPr>
        <w:t>12. Nagrywanie rozmów telefonicznych</w:t>
      </w:r>
    </w:p>
    <w:p w14:paraId="0622500C" w14:textId="77777777" w:rsidR="00B15D34" w:rsidRDefault="00E01810">
      <w:r>
        <w:t>Rozmowy telefoniczne prowadzone z Centrum Medycyny Medica są nagrywane. Przed rozpoczęciem właściwej rozmowy rozmówca otrzymuje informację o nagrywaniu. Osoba, która nie chce prowadzić nagrywanej rozmowy, może skorzystać z kontaktu osobistego, pisemnego lub e-mailowego.</w:t>
      </w:r>
    </w:p>
    <w:p w14:paraId="6D657F5A" w14:textId="77777777" w:rsidR="00B15D34" w:rsidRDefault="00E01810">
      <w:r>
        <w:t>Nagrywanie służy zapewnieniu prawidłowości i jakości obsługi, weryfikacji ustaleń dotyczących rejestracji i organizacji świadczeń, rozpatrywaniu skarg i reklamacji oraz ustaleniu, dochodzeniu lub obronie roszczeń. Nagranie może obejmować głos, treść rozmowy, numer telefonu, datę i godzinę, czas trwania i dane techniczne połączenia, a zależnie od treści rozmowy także dane dotyczące zdrowia.</w:t>
      </w:r>
    </w:p>
    <w:p w14:paraId="69D389DB" w14:textId="77777777" w:rsidR="00B15D34" w:rsidRDefault="00E01810">
      <w:r>
        <w:t xml:space="preserve">Podstawą przetwarzania danych innych niż dane dotyczące zdrowia jest art. 6 ust. 1 lit. f RODO - prawnie uzasadniony interes Administratora polegający na zapewnieniu jakości obsługi, możliwości weryfikacji ustaleń oraz ochronie roszczeń. W zakresie danych dotyczących zdrowia podstawą jest art. </w:t>
      </w:r>
      <w:r>
        <w:lastRenderedPageBreak/>
        <w:t>9 ust. 2 lit. h RODO, gdy przetwarzanie jest niezbędne do organizacji i zarządzania świadczeniami zdrowotnymi, a w zakresie ustalenia, dochodzenia lub obrony roszczeń - art. 9 ust. 2 lit. f RODO.</w:t>
      </w:r>
    </w:p>
    <w:p w14:paraId="735C964F" w14:textId="77777777" w:rsidR="00B15D34" w:rsidRDefault="00E01810">
      <w:r>
        <w:t>Nagrania są przechowywane przez 3 miesiące od dnia rozmowy, a następnie usuwane lub nadpisywane. Jeżeli konkretne nagranie stanowi lub może stanowić dowód w związku ze skargą, reklamacją, incydentem lub roszczeniem, może zostać wyodrębnione i przechowywane do zakończenia sprawy oraz upływu właściwego terminu przedawnienia.</w:t>
      </w:r>
    </w:p>
    <w:p w14:paraId="41FF494A" w14:textId="77777777" w:rsidR="00B15D34" w:rsidRDefault="00E01810">
      <w:r>
        <w:t>Dostęp do nagrań mają wyłącznie upoważnione osoby po stronie Medica oraz Centrale Telefoniczne Paweł Matyja jako podmiot przetwarzający, w zakresie niezbędnym do obsługi i utrzymania systemu telefonicznego. Nagrania mogą zostać udostępnione także podmiotom uprawnionym na podstawie przepisów prawa. Osobie, której głos i dane zostały utrwalone, przysługują prawa wskazane w pkt 7, w tym prawo dostępu do danych i uzyskania ich kopii w granicach art. 15 RODO. Połączenia są zestawiane za pośrednictwem usługi SIP Trunk świadczonej przez Aiton Caldwell S.A. (Datera), natomiast nagrania są tworzone i przechowywane w infrastrukturze centrali telefonicznej Medica obsługiwanej przez Centrale Telefoniczne Paweł Matyja. Medica nie korzysta z usługi nagrywania rozmów po stronie Datera.</w:t>
      </w:r>
    </w:p>
    <w:p w14:paraId="79AB67A2" w14:textId="77777777" w:rsidR="00C813FB" w:rsidRDefault="00E01810">
      <w:pPr>
        <w:pStyle w:val="Nagwek1"/>
      </w:pPr>
      <w:r>
        <w:rPr>
          <w:rFonts w:ascii="Calibri" w:eastAsia="Calibri" w:hAnsi="Calibri" w:cs="Calibri"/>
        </w:rPr>
        <w:t>13. Monitoring wizyjny</w:t>
      </w:r>
    </w:p>
    <w:p w14:paraId="3FB3A431" w14:textId="77777777" w:rsidR="00C813FB" w:rsidRDefault="00E01810">
      <w:r>
        <w:t>W Centrum Medycyny Medica jest prowadzony monitoring wizyjny wyłącznie w zakresie przewidzianym w regulaminie organizacyjnym i prawidłowo oznaczonym. Kamery rejestrują wyłącznie obraz i nie rejestrują ani nie zbierają dźwięku.</w:t>
      </w:r>
    </w:p>
    <w:p w14:paraId="69AECCD5" w14:textId="77777777" w:rsidR="00C813FB" w:rsidRDefault="00E01810">
      <w:pPr>
        <w:keepNext/>
        <w:spacing w:before="120" w:after="60"/>
      </w:pPr>
      <w:r>
        <w:rPr>
          <w:b/>
        </w:rPr>
        <w:t>13.1. Monitoring wewnątrz placówki</w:t>
      </w:r>
    </w:p>
    <w:p w14:paraId="71F4E9D5" w14:textId="77777777" w:rsidR="00B15D34" w:rsidRDefault="00E01810">
      <w:r>
        <w:t>Monitoring wewnątrz placówki obejmuje strefę rejestracji, poczekalnię, wyjście ewakuacyjne, klatkę schodową oraz korytarz na piętrze. Jest prowadzony w celu zapewnienia bezpieczeństwa pacjentów i pracowników oraz wyjaśniania zdarzeń zagrażających temu bezpieczeństwu.</w:t>
      </w:r>
    </w:p>
    <w:p w14:paraId="5BBB8424" w14:textId="77777777" w:rsidR="00B15D34" w:rsidRDefault="00E01810">
      <w:r>
        <w:t>Podstawą przetwarzania danych niebędących szczególnymi kategoriami danych jest art. 6 ust. 1 lit. f RODO w związku z art. 23a ust. 1 pkt 1 ustawy o działalności leczniczej. Jeżeli obraz ujawnia dane dotyczące zdrowia, podstawą jest także art. 9 ust. 2 lit. i RODO.</w:t>
      </w:r>
    </w:p>
    <w:p w14:paraId="43C94B58" w14:textId="77777777" w:rsidR="00B15D34" w:rsidRDefault="00E01810">
      <w:r>
        <w:t>Kamera znajdująca się w gabinecie nr 6 jest wyłączona, nie rejestruje obrazu i nie jest wykorzystywana do monitoringu.</w:t>
      </w:r>
    </w:p>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9432"/>
      </w:tblGrid>
      <w:tr w:rsidR="00C813FB" w14:paraId="07C1F44C" w14:textId="77777777">
        <w:trPr>
          <w:cantSplit/>
          <w:jc w:val="center"/>
        </w:trPr>
        <w:tc>
          <w:tcPr>
            <w:tcW w:w="9432" w:type="dxa"/>
            <w:tcBorders>
              <w:top w:val="single" w:sz="4" w:space="0" w:color="A6A6A6"/>
              <w:left w:val="single" w:sz="4" w:space="0" w:color="A6A6A6"/>
              <w:bottom w:val="single" w:sz="4" w:space="0" w:color="A6A6A6"/>
              <w:right w:val="single" w:sz="4" w:space="0" w:color="A6A6A6"/>
            </w:tcBorders>
            <w:shd w:val="clear" w:color="auto" w:fill="FFFFFF"/>
            <w:tcMar>
              <w:top w:w="100" w:type="dxa"/>
              <w:left w:w="170" w:type="dxa"/>
              <w:bottom w:w="100" w:type="dxa"/>
              <w:right w:w="170" w:type="dxa"/>
            </w:tcMar>
            <w:vAlign w:val="center"/>
          </w:tcPr>
          <w:p w14:paraId="1C5C48E3" w14:textId="77777777" w:rsidR="00C813FB" w:rsidRDefault="00E01810">
            <w:pPr>
              <w:spacing w:after="0"/>
            </w:pPr>
            <w:r>
              <w:rPr>
                <w:b/>
              </w:rPr>
              <w:t>Pomieszczenia udzielania świadczeń</w:t>
            </w:r>
          </w:p>
          <w:p w14:paraId="1B64DEBF" w14:textId="77777777" w:rsidR="00C813FB" w:rsidRDefault="00E01810">
            <w:pPr>
              <w:spacing w:after="0" w:line="259" w:lineRule="auto"/>
            </w:pPr>
            <w:r>
              <w:t>Monitoring nie powinien obejmować gabinetów ani innych pomieszczeń, w których udzielane są świadczenia zdrowotne, chyba że jego stosowanie wynika z wyraźnego przepisu szczególnego i spełnione są wszystkie ustawowe warunki, w tym konieczność, proporcjonalność oraz poszanowanie intymności i godności pacjenta.</w:t>
            </w:r>
          </w:p>
        </w:tc>
      </w:tr>
    </w:tbl>
    <w:p w14:paraId="36C5AFD9" w14:textId="77777777" w:rsidR="00C813FB" w:rsidRDefault="00E01810">
      <w:pPr>
        <w:keepNext/>
        <w:spacing w:before="120" w:after="60"/>
      </w:pPr>
      <w:r>
        <w:rPr>
          <w:b/>
        </w:rPr>
        <w:t>13.2. Monitoring terenu zewnętrznego</w:t>
      </w:r>
    </w:p>
    <w:p w14:paraId="58F7E010" w14:textId="77777777" w:rsidR="00C813FB" w:rsidRDefault="00E01810">
      <w:r>
        <w:t>Monitoring terenu zewnętrznego obejmuje parking. Jego celem jest zapewnienie bezpieczeństwa osób, ochrona mienia oraz możliwość wyjaśnienia zdarzeń zagrażających bezpieczeństwu. Podstawą przetwarzania jest art. 6 ust. 1 lit. f RODO - prawnie uzasadniony interes Administratora polegający na zapewnieniu bezpieczeństwa osób, ochronie mienia i ustalaniu okoliczności zdarzeń.</w:t>
      </w:r>
    </w:p>
    <w:p w14:paraId="385BA38C" w14:textId="21871629" w:rsidR="00C813FB" w:rsidRDefault="00E01810">
      <w:r>
        <w:lastRenderedPageBreak/>
        <w:t>Nagrania z obu obszarów są przechowywane co do zasady przez 14 dni. Jeżeli stanowią lub mogą stanowić dowód w postępowaniu, mogą być zabezpieczone do czasu prawomocnego zakończenia tego postępowania. Po upływie właściwego okresu nagrania są niszczone, o ile prawo nie wymaga dalszego przechowywania. W odniesieniu do monitoringu pomieszczeń art. 23a ust. 2 ustawy o działalności leczniczej przewiduje maksymalny okres 3 miesięcy od dnia nagrania, z zastrzeżeniem przepisów odrębnych.</w:t>
      </w:r>
    </w:p>
    <w:p w14:paraId="2E9E149E" w14:textId="7055280B" w:rsidR="00C813FB" w:rsidRDefault="00E01810">
      <w:r>
        <w:t>Dostęp do nagrań mają wyłącznie osoby upoważnione oraz – na podstawie prawa – właściwe organy lub podmioty obsługujące system w imieniu Administratora. Aktualne informacje o zakresie monitoringu są udostępniane także w placówce i powinny odpowiadać treści regulaminu organizacyjnego.</w:t>
      </w:r>
    </w:p>
    <w:p w14:paraId="0189B450" w14:textId="41219A02" w:rsidR="00C813FB" w:rsidRDefault="00E01810">
      <w:pPr>
        <w:pStyle w:val="Nagwek1"/>
      </w:pPr>
      <w:r>
        <w:rPr>
          <w:rFonts w:ascii="Calibri" w:eastAsia="Calibri" w:hAnsi="Calibri" w:cs="Calibri"/>
        </w:rPr>
        <w:t>14. Bezpieczeństwo i aktualizacja informacji</w:t>
      </w:r>
    </w:p>
    <w:p w14:paraId="1AD71C69" w14:textId="382DF12D" w:rsidR="00C813FB" w:rsidRDefault="00E01810">
      <w:r>
        <w:t>Administrator stosuje środki techniczne i organizacyjne odpowiednie do ryzyka, w szczególności zarządza dostępem i uprawnieniami, szkoli osoby upoważnione, zabezpiecza systemy i dokumenty, prowadzi kopie zapasowe oraz korzysta z wyspecjalizowanych dostawców na podstawie odpowiednich umów. Ze względów bezpieczeństwa szczegółowa architektura zabezpieczeń nie jest publikowana.</w:t>
      </w:r>
    </w:p>
    <w:p w14:paraId="4969963A" w14:textId="71A8F3C7" w:rsidR="00C813FB" w:rsidRDefault="00E01810">
      <w:r>
        <w:t>Treść informacji jest okresowo weryfikowana. Aktualna wersja jest publikowana na stronie www.gzmedica.pl. Administrator archiwizuje poprzednie wersje w celu wykazania realizacji obowiązku informacyjnego.</w:t>
      </w:r>
    </w:p>
    <w:p w14:paraId="72B5093E" w14:textId="42B552E4" w:rsidR="00C813FB" w:rsidRDefault="00E01810">
      <w:pPr>
        <w:pStyle w:val="Nagwek1"/>
      </w:pPr>
      <w:r>
        <w:rPr>
          <w:rFonts w:ascii="Calibri" w:eastAsia="Calibri" w:hAnsi="Calibri"/>
        </w:rPr>
        <w:t>15. Najważniejsze podstawy prawne</w:t>
      </w:r>
    </w:p>
    <w:p w14:paraId="263093B3" w14:textId="1940E15D" w:rsidR="00C813FB" w:rsidRDefault="00E01810">
      <w:pPr>
        <w:spacing w:after="40"/>
        <w:ind w:left="255" w:hanging="113"/>
      </w:pPr>
      <w:r>
        <w:t>- rozporządzenie Parlamentu Europejskiego i Rady (UE) 2016/679 z 27 kwietnia 2016 r. – RODO, w szczególności art. 5–6, 9, 12–22 i 32,</w:t>
      </w:r>
    </w:p>
    <w:p w14:paraId="309EFD64" w14:textId="77777777" w:rsidR="00C813FB" w:rsidRDefault="00E01810">
      <w:pPr>
        <w:spacing w:after="40"/>
        <w:ind w:left="255" w:hanging="113"/>
      </w:pPr>
      <w:r>
        <w:t>- ustawa z 10 maja 2018 r. o ochronie danych osobowych,</w:t>
      </w:r>
    </w:p>
    <w:p w14:paraId="5E6BA41E" w14:textId="4BE91D22" w:rsidR="00C813FB" w:rsidRDefault="00E01810">
      <w:pPr>
        <w:spacing w:after="40"/>
        <w:ind w:left="255" w:hanging="113"/>
      </w:pPr>
      <w:r>
        <w:t>- ustawa z 6 listopada 2008 r. o prawach pacjenta i Rzeczniku Praw Pacjenta, w szczególności art. 23–30,</w:t>
      </w:r>
    </w:p>
    <w:p w14:paraId="6283F4FA" w14:textId="77777777" w:rsidR="00C813FB" w:rsidRDefault="00E01810">
      <w:pPr>
        <w:spacing w:after="40"/>
        <w:ind w:left="255" w:hanging="113"/>
      </w:pPr>
      <w:r>
        <w:t>- ustawa z 15 kwietnia 2011 r. o działalności leczniczej, w szczególności art. 23a i art. 24,</w:t>
      </w:r>
    </w:p>
    <w:p w14:paraId="7B5A121A" w14:textId="024C26E2" w:rsidR="00C813FB" w:rsidRDefault="00E01810">
      <w:pPr>
        <w:spacing w:after="40"/>
        <w:ind w:left="255" w:hanging="113"/>
      </w:pPr>
      <w:r>
        <w:t>- ustawa z 28 kwietnia 2011 r. o systemie informacji w ochronie zdrowia,</w:t>
      </w:r>
    </w:p>
    <w:p w14:paraId="4975763E" w14:textId="77777777" w:rsidR="00C813FB" w:rsidRDefault="00E01810">
      <w:pPr>
        <w:spacing w:after="40"/>
        <w:ind w:left="255" w:hanging="113"/>
      </w:pPr>
      <w:r>
        <w:t>- ustawa z 5 grudnia 1996 r. o zawodach lekarza i lekarza dentysty,</w:t>
      </w:r>
    </w:p>
    <w:p w14:paraId="3A45F9AC" w14:textId="77777777" w:rsidR="00C813FB" w:rsidRDefault="00E01810">
      <w:pPr>
        <w:spacing w:after="40"/>
        <w:ind w:left="255" w:hanging="113"/>
      </w:pPr>
      <w:r>
        <w:t>- ustawa z 15 lipca 2011 r. o zawodach pielęgniarki i położnej,</w:t>
      </w:r>
    </w:p>
    <w:p w14:paraId="29880A76" w14:textId="5707B822" w:rsidR="00C813FB" w:rsidRDefault="00E01810">
      <w:pPr>
        <w:spacing w:after="40"/>
        <w:ind w:left="255" w:hanging="113"/>
      </w:pPr>
      <w:r>
        <w:t>- ustawa z 25 września 2015 r. o zawodzie fizjoterapeuty – w zakresie właściwym dla udzielanych świadczeń,</w:t>
      </w:r>
    </w:p>
    <w:p w14:paraId="63061593" w14:textId="699FC4D9" w:rsidR="00C813FB" w:rsidRDefault="00E01810">
      <w:pPr>
        <w:spacing w:after="40"/>
        <w:ind w:left="255" w:hanging="113"/>
      </w:pPr>
      <w:r>
        <w:t>- rozporządzenie Ministra Zdrowia z 6 kwietnia 2020 r. w sprawie rodzajów, zakresu i wzorów dokumentacji medycznej oraz sposobu jej przetwarzania, z późniejszymi zmianami,</w:t>
      </w:r>
    </w:p>
    <w:p w14:paraId="7B7697E4" w14:textId="77777777" w:rsidR="00C813FB" w:rsidRDefault="00E01810">
      <w:pPr>
        <w:spacing w:after="40"/>
        <w:ind w:left="255" w:hanging="113"/>
      </w:pPr>
      <w:r>
        <w:t>- ustawa z 12 lipca 2024 r. – Prawo komunikacji elektronicznej, w szczególności art. 399–400.</w:t>
      </w:r>
    </w:p>
    <w:p w14:paraId="0FAE10D3" w14:textId="21D1EEB1" w:rsidR="00C813FB" w:rsidRDefault="00E01810">
      <w:pPr>
        <w:spacing w:after="0"/>
        <w:jc w:val="center"/>
      </w:pPr>
      <w:proofErr w:type="spellStart"/>
      <w:r>
        <w:t>Medica</w:t>
      </w:r>
      <w:proofErr w:type="spellEnd"/>
      <w:r>
        <w:t xml:space="preserve"> </w:t>
      </w:r>
      <w:r w:rsidR="00E54286">
        <w:t>s</w:t>
      </w:r>
      <w:r>
        <w:t xml:space="preserve">p. z o.o. | Centrum Medycyny </w:t>
      </w:r>
      <w:proofErr w:type="spellStart"/>
      <w:r>
        <w:t>Medica</w:t>
      </w:r>
      <w:proofErr w:type="spellEnd"/>
      <w:r>
        <w:t xml:space="preserve"> | </w:t>
      </w:r>
      <w:r w:rsidR="009D533D" w:rsidRPr="009D533D">
        <w:t>www.gzmedica.pl</w:t>
      </w:r>
    </w:p>
    <w:p w14:paraId="6548E6F7" w14:textId="490F8202" w:rsidR="009D533D" w:rsidRPr="009D533D" w:rsidRDefault="009D533D" w:rsidP="009D533D">
      <w:pPr>
        <w:spacing w:after="0"/>
        <w:jc w:val="center"/>
      </w:pPr>
      <w:r w:rsidRPr="009D533D">
        <w:drawing>
          <wp:anchor distT="0" distB="0" distL="114300" distR="114300" simplePos="0" relativeHeight="251660288" behindDoc="0" locked="0" layoutInCell="1" allowOverlap="1" wp14:anchorId="58663D42" wp14:editId="4E9BBF9F">
            <wp:simplePos x="0" y="0"/>
            <wp:positionH relativeFrom="column">
              <wp:posOffset>2273935</wp:posOffset>
            </wp:positionH>
            <wp:positionV relativeFrom="paragraph">
              <wp:posOffset>59651</wp:posOffset>
            </wp:positionV>
            <wp:extent cx="1737360" cy="782994"/>
            <wp:effectExtent l="0" t="0" r="0" b="0"/>
            <wp:wrapNone/>
            <wp:docPr id="19127989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6230" cy="7914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05562" w14:textId="6C405354" w:rsidR="009D533D" w:rsidRDefault="009D533D">
      <w:pPr>
        <w:spacing w:after="0"/>
        <w:jc w:val="center"/>
      </w:pPr>
    </w:p>
    <w:sectPr w:rsidR="009D533D" w:rsidSect="00034616">
      <w:headerReference w:type="even" r:id="rId9"/>
      <w:headerReference w:type="default" r:id="rId10"/>
      <w:footerReference w:type="even" r:id="rId11"/>
      <w:footerReference w:type="default" r:id="rId12"/>
      <w:headerReference w:type="first" r:id="rId13"/>
      <w:footerReference w:type="first" r:id="rId14"/>
      <w:pgSz w:w="12240" w:h="15840"/>
      <w:pgMar w:top="964" w:right="1123" w:bottom="879" w:left="1123"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0218" w14:textId="77777777" w:rsidR="005D42CE" w:rsidRDefault="005D42CE">
      <w:pPr>
        <w:spacing w:after="0" w:line="240" w:lineRule="auto"/>
      </w:pPr>
      <w:r>
        <w:separator/>
      </w:r>
    </w:p>
  </w:endnote>
  <w:endnote w:type="continuationSeparator" w:id="0">
    <w:p w14:paraId="47BAB60B" w14:textId="77777777" w:rsidR="005D42CE" w:rsidRDefault="005D4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7CDF" w14:textId="77777777" w:rsidR="00C813FB" w:rsidRDefault="00C813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A49B" w14:textId="77777777" w:rsidR="00C813FB" w:rsidRDefault="00E01810">
    <w:pPr>
      <w:pStyle w:val="Stopka"/>
      <w:jc w:val="center"/>
    </w:pPr>
    <w:proofErr w:type="spellStart"/>
    <w:r>
      <w:t>Medica</w:t>
    </w:r>
    <w:proofErr w:type="spellEnd"/>
    <w:r>
      <w:t xml:space="preserve"> sp. z o.o.  |  strona </w:t>
    </w:r>
    <w:r>
      <w:fldChar w:fldCharType="begin"/>
    </w:r>
    <w:r>
      <w:instrText xml:space="preserve"> PAGE </w:instrText>
    </w:r>
    <w:r>
      <w:fldChar w:fldCharType="separate"/>
    </w:r>
    <w:r>
      <w:rPr>
        <w:noProof/>
      </w:rPr>
      <w:t>1</w:t>
    </w:r>
    <w:r>
      <w:fldChar w:fldCharType="end"/>
    </w:r>
    <w:r>
      <w:t xml:space="preserve"> z </w:t>
    </w:r>
    <w:r>
      <w:fldChar w:fldCharType="begin"/>
    </w:r>
    <w:r>
      <w:instrText xml:space="preserve"> NUMPAGES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15EF" w14:textId="77777777" w:rsidR="00C813FB" w:rsidRDefault="00C813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ED06" w14:textId="77777777" w:rsidR="005D42CE" w:rsidRDefault="005D42CE">
      <w:pPr>
        <w:spacing w:after="0" w:line="240" w:lineRule="auto"/>
      </w:pPr>
      <w:r>
        <w:separator/>
      </w:r>
    </w:p>
  </w:footnote>
  <w:footnote w:type="continuationSeparator" w:id="0">
    <w:p w14:paraId="4A64F889" w14:textId="77777777" w:rsidR="005D42CE" w:rsidRDefault="005D4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3979" w14:textId="77777777" w:rsidR="00C813FB" w:rsidRDefault="00C813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000E" w14:textId="77777777" w:rsidR="00C813FB" w:rsidRDefault="00E01810">
    <w:pPr>
      <w:pStyle w:val="Nagwek"/>
      <w:jc w:val="right"/>
    </w:pPr>
    <w:r>
      <w:rPr>
        <w:b/>
      </w:rPr>
      <w:t>MEDICA  |  OCHRONA DANYCH OSOBOWYCH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189E" w14:textId="77777777" w:rsidR="00C813FB" w:rsidRDefault="00C813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Calibri" w:eastAsia="Calibri" w:hAnsi="Calibri" w:cs="Calibri" w:hint="default"/>
        <w:color w:val="000000"/>
        <w:sz w:val="24"/>
        <w:szCs w:val="24"/>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Calibri" w:eastAsia="Calibri" w:hAnsi="Calibri" w:cs="Calibri" w:hint="default"/>
        <w:color w:val="000000"/>
        <w:sz w:val="24"/>
        <w:szCs w:val="24"/>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Calibri" w:eastAsia="Calibri" w:hAnsi="Calibri" w:cs="Calibri" w:hint="default"/>
        <w:color w:val="000000"/>
        <w:sz w:val="24"/>
        <w:szCs w:val="24"/>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Calibri" w:eastAsia="Calibri" w:hAnsi="Calibri" w:cs="Calibri" w:hint="default"/>
        <w:color w:val="000000"/>
        <w:sz w:val="24"/>
        <w:szCs w:val="24"/>
      </w:rPr>
    </w:lvl>
  </w:abstractNum>
  <w:num w:numId="1" w16cid:durableId="1072431405">
    <w:abstractNumId w:val="8"/>
  </w:num>
  <w:num w:numId="2" w16cid:durableId="1111781078">
    <w:abstractNumId w:val="6"/>
  </w:num>
  <w:num w:numId="3" w16cid:durableId="1486823696">
    <w:abstractNumId w:val="5"/>
  </w:num>
  <w:num w:numId="4" w16cid:durableId="260572428">
    <w:abstractNumId w:val="4"/>
  </w:num>
  <w:num w:numId="5" w16cid:durableId="858278155">
    <w:abstractNumId w:val="7"/>
  </w:num>
  <w:num w:numId="6" w16cid:durableId="66922313">
    <w:abstractNumId w:val="3"/>
  </w:num>
  <w:num w:numId="7" w16cid:durableId="277177668">
    <w:abstractNumId w:val="2"/>
  </w:num>
  <w:num w:numId="8" w16cid:durableId="86076445">
    <w:abstractNumId w:val="1"/>
  </w:num>
  <w:num w:numId="9" w16cid:durableId="15265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94A"/>
    <w:rsid w:val="00034616"/>
    <w:rsid w:val="00054D3A"/>
    <w:rsid w:val="0006063C"/>
    <w:rsid w:val="0007339F"/>
    <w:rsid w:val="00104434"/>
    <w:rsid w:val="001265D7"/>
    <w:rsid w:val="0015074B"/>
    <w:rsid w:val="00154592"/>
    <w:rsid w:val="001A0B44"/>
    <w:rsid w:val="00264430"/>
    <w:rsid w:val="0029639D"/>
    <w:rsid w:val="002F022B"/>
    <w:rsid w:val="00303244"/>
    <w:rsid w:val="00320E55"/>
    <w:rsid w:val="00326F90"/>
    <w:rsid w:val="0036150D"/>
    <w:rsid w:val="003C67A3"/>
    <w:rsid w:val="004664EA"/>
    <w:rsid w:val="004833B2"/>
    <w:rsid w:val="0049530E"/>
    <w:rsid w:val="00533236"/>
    <w:rsid w:val="00542EAE"/>
    <w:rsid w:val="005D42CE"/>
    <w:rsid w:val="005E7AA1"/>
    <w:rsid w:val="005F59F8"/>
    <w:rsid w:val="0065608B"/>
    <w:rsid w:val="006A3BA6"/>
    <w:rsid w:val="0074042B"/>
    <w:rsid w:val="00743AF6"/>
    <w:rsid w:val="0085128E"/>
    <w:rsid w:val="00972A97"/>
    <w:rsid w:val="009D533D"/>
    <w:rsid w:val="00A2413E"/>
    <w:rsid w:val="00A32DDB"/>
    <w:rsid w:val="00A91038"/>
    <w:rsid w:val="00AA1D8D"/>
    <w:rsid w:val="00B15D34"/>
    <w:rsid w:val="00B47730"/>
    <w:rsid w:val="00B94DDB"/>
    <w:rsid w:val="00C813FB"/>
    <w:rsid w:val="00CB0664"/>
    <w:rsid w:val="00CC75CC"/>
    <w:rsid w:val="00D5560C"/>
    <w:rsid w:val="00D7200F"/>
    <w:rsid w:val="00D87755"/>
    <w:rsid w:val="00E01810"/>
    <w:rsid w:val="00E250A4"/>
    <w:rsid w:val="00E3533E"/>
    <w:rsid w:val="00E54286"/>
    <w:rsid w:val="00E83A3F"/>
    <w:rsid w:val="00EF07F8"/>
    <w:rsid w:val="00F11ABA"/>
    <w:rsid w:val="00F872C9"/>
    <w:rsid w:val="00F9089B"/>
    <w:rsid w:val="00FC693F"/>
  </w:rsids>
  <m:mathPr>
    <m:mathFont m:val="Cambria Math"/>
    <m:brkBin m:val="before"/>
    <m:brkBinSub m:val="--"/>
    <m:smallFrac m:val="0"/>
    <m:dispDef/>
    <m:lMargin m:val="0"/>
    <m:rMargin m:val="0"/>
    <m:defJc m:val="centerGroup"/>
    <m:wrapIndent m:val="1440"/>
    <m:intLim m:val="subSup"/>
    <m:naryLim m:val="undOvr"/>
  </m:mathPr>
  <w:themeFontLang w:val="pl-PL" w:eastAsia="pl-PL" w:bidi="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9723BB"/>
  <w14:defaultImageDpi w14:val="300"/>
  <w15:docId w15:val="{17D40D61-B7C7-4395-922F-D5660F1E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line="269" w:lineRule="auto"/>
    </w:pPr>
    <w:rPr>
      <w:rFonts w:ascii="Calibri" w:eastAsia="Calibri" w:hAnsi="Calibri" w:cs="Calibri"/>
      <w:lang w:val="pl-PL" w:eastAsia="pl-PL" w:bidi="pl-PL"/>
    </w:rPr>
  </w:style>
  <w:style w:type="paragraph" w:styleId="Nagwek1">
    <w:name w:val="heading 1"/>
    <w:basedOn w:val="Normalny"/>
    <w:next w:val="Normalny"/>
    <w:link w:val="Nagwek1Znak"/>
    <w:uiPriority w:val="9"/>
    <w:qFormat/>
    <w:rsid w:val="00FC693F"/>
    <w:pPr>
      <w:keepNext/>
      <w:keepLines/>
      <w:spacing w:before="240" w:after="100"/>
      <w:outlineLvl w:val="0"/>
    </w:pPr>
    <w:rPr>
      <w:rFonts w:asciiTheme="majorHAnsi" w:eastAsiaTheme="majorEastAsia" w:hAnsiTheme="majorHAnsi" w:cstheme="majorBidi"/>
      <w:b/>
      <w:bCs/>
    </w:rPr>
  </w:style>
  <w:style w:type="paragraph" w:styleId="Nagwek2">
    <w:name w:val="heading 2"/>
    <w:basedOn w:val="Normalny"/>
    <w:next w:val="Normalny"/>
    <w:link w:val="Nagwek2Znak"/>
    <w:uiPriority w:val="9"/>
    <w:unhideWhenUsed/>
    <w:qFormat/>
    <w:rsid w:val="00FC693F"/>
    <w:pPr>
      <w:keepNext/>
      <w:keepLines/>
      <w:spacing w:before="160" w:after="60"/>
      <w:outlineLvl w:val="1"/>
    </w:pPr>
    <w:rPr>
      <w:rFonts w:asciiTheme="majorHAnsi" w:eastAsiaTheme="majorEastAsia" w:hAnsiTheme="majorHAnsi" w:cstheme="majorBidi"/>
      <w:b/>
      <w:bCs/>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rFonts w:ascii="Calibri" w:eastAsia="Calibri" w:hAnsi="Calibri" w:cs="Calibri"/>
      <w:color w:val="000000"/>
      <w:sz w:val="24"/>
      <w:szCs w:val="24"/>
      <w:lang w:val="pl-PL" w:eastAsia="pl-PL" w:bidi="pl-PL"/>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rFonts w:ascii="Calibri" w:eastAsia="Calibri" w:hAnsi="Calibri" w:cs="Calibri"/>
      <w:color w:val="000000"/>
      <w:sz w:val="24"/>
      <w:szCs w:val="24"/>
      <w:lang w:val="pl-PL" w:eastAsia="pl-PL" w:bidi="pl-PL"/>
    </w:rPr>
  </w:style>
  <w:style w:type="paragraph" w:styleId="Bezodstpw">
    <w:name w:val="No Spacing"/>
    <w:uiPriority w:val="1"/>
    <w:qFormat/>
    <w:rsid w:val="00FC693F"/>
    <w:pPr>
      <w:spacing w:after="0" w:line="240" w:lineRule="auto"/>
    </w:pPr>
    <w:rPr>
      <w:rFonts w:ascii="Calibri" w:eastAsia="Calibri" w:hAnsi="Calibri" w:cs="Calibri"/>
      <w:lang w:val="pl-PL" w:eastAsia="pl-PL" w:bidi="pl-PL"/>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000000"/>
      <w:sz w:val="24"/>
      <w:szCs w:val="24"/>
      <w:lang w:val="pl-PL" w:eastAsia="pl-PL" w:bidi="pl-PL"/>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000000"/>
      <w:sz w:val="24"/>
      <w:szCs w:val="24"/>
      <w:lang w:val="pl-PL" w:eastAsia="pl-PL" w:bidi="pl-PL"/>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000000"/>
      <w:sz w:val="24"/>
      <w:szCs w:val="24"/>
      <w:lang w:val="pl-PL" w:eastAsia="pl-PL" w:bidi="pl-PL"/>
    </w:rPr>
  </w:style>
  <w:style w:type="paragraph" w:styleId="Tytu">
    <w:name w:val="Title"/>
    <w:basedOn w:val="Normalny"/>
    <w:next w:val="Normalny"/>
    <w:link w:val="TytuZnak"/>
    <w:uiPriority w:val="10"/>
    <w:qFormat/>
    <w:rsid w:val="00FC693F"/>
    <w:pPr>
      <w:pBdr>
        <w:bottom w:val="single" w:sz="8" w:space="4" w:color="A6A6A6"/>
      </w:pBdr>
      <w:spacing w:after="300" w:line="240" w:lineRule="auto"/>
      <w:contextualSpacing/>
    </w:pPr>
    <w:rPr>
      <w:rFonts w:asciiTheme="majorHAnsi" w:eastAsiaTheme="majorEastAsia" w:hAnsiTheme="majorHAnsi" w:cstheme="majorBidi"/>
      <w:spacing w:val="5"/>
      <w:kern w:val="28"/>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000000"/>
      <w:spacing w:val="5"/>
      <w:kern w:val="28"/>
      <w:sz w:val="24"/>
      <w:szCs w:val="24"/>
      <w:lang w:val="pl-PL" w:eastAsia="pl-PL" w:bidi="pl-PL"/>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spacing w:val="15"/>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000000"/>
      <w:spacing w:val="15"/>
      <w:sz w:val="24"/>
      <w:szCs w:val="24"/>
      <w:lang w:val="pl-PL" w:eastAsia="pl-PL" w:bidi="pl-PL"/>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rPr>
      <w:rFonts w:ascii="Calibri" w:eastAsia="Calibri" w:hAnsi="Calibri" w:cs="Calibri"/>
      <w:color w:val="000000"/>
      <w:sz w:val="24"/>
      <w:szCs w:val="24"/>
      <w:lang w:val="pl-PL" w:eastAsia="pl-PL" w:bidi="pl-PL"/>
    </w:rPr>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rPr>
      <w:rFonts w:ascii="Calibri" w:eastAsia="Calibri" w:hAnsi="Calibri" w:cs="Calibri"/>
      <w:color w:val="000000"/>
      <w:sz w:val="24"/>
      <w:szCs w:val="24"/>
      <w:lang w:val="pl-PL" w:eastAsia="pl-PL" w:bidi="pl-PL"/>
    </w:rPr>
  </w:style>
  <w:style w:type="paragraph" w:styleId="Tekstpodstawowy3">
    <w:name w:val="Body Text 3"/>
    <w:basedOn w:val="Normalny"/>
    <w:link w:val="Tekstpodstawowy3Znak"/>
    <w:uiPriority w:val="99"/>
    <w:unhideWhenUsed/>
    <w:rsid w:val="00AA1D8D"/>
    <w:pPr>
      <w:spacing w:after="120"/>
    </w:pPr>
  </w:style>
  <w:style w:type="character" w:customStyle="1" w:styleId="Tekstpodstawowy3Znak">
    <w:name w:val="Tekst podstawowy 3 Znak"/>
    <w:basedOn w:val="Domylnaczcionkaakapitu"/>
    <w:link w:val="Tekstpodstawowy3"/>
    <w:uiPriority w:val="99"/>
    <w:rsid w:val="00AA1D8D"/>
    <w:rPr>
      <w:rFonts w:ascii="Calibri" w:eastAsia="Calibri" w:hAnsi="Calibri" w:cs="Calibri"/>
      <w:color w:val="000000"/>
      <w:sz w:val="24"/>
      <w:szCs w:val="24"/>
      <w:lang w:val="pl-PL" w:eastAsia="pl-PL" w:bidi="pl-PL"/>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alibri" w:eastAsia="Calibri" w:hAnsi="Calibri" w:cs="Calibri"/>
      <w:lang w:val="pl-PL" w:eastAsia="pl-PL" w:bidi="pl-PL"/>
    </w:rPr>
  </w:style>
  <w:style w:type="character" w:customStyle="1" w:styleId="TekstmakraZnak">
    <w:name w:val="Tekst makra Znak"/>
    <w:basedOn w:val="Domylnaczcionkaakapitu"/>
    <w:link w:val="Tekstmakra"/>
    <w:uiPriority w:val="99"/>
    <w:rsid w:val="0029639D"/>
    <w:rPr>
      <w:rFonts w:ascii="Calibri" w:eastAsia="Calibri" w:hAnsi="Calibri" w:cs="Calibri"/>
      <w:color w:val="000000"/>
      <w:sz w:val="24"/>
      <w:szCs w:val="24"/>
      <w:lang w:val="pl-PL" w:eastAsia="pl-PL" w:bidi="pl-PL"/>
    </w:rPr>
  </w:style>
  <w:style w:type="paragraph" w:styleId="Cytat">
    <w:name w:val="Quote"/>
    <w:basedOn w:val="Normalny"/>
    <w:next w:val="Normalny"/>
    <w:link w:val="CytatZnak"/>
    <w:uiPriority w:val="29"/>
    <w:qFormat/>
    <w:rsid w:val="00FC693F"/>
    <w:rPr>
      <w:i/>
      <w:iCs/>
    </w:rPr>
  </w:style>
  <w:style w:type="character" w:customStyle="1" w:styleId="CytatZnak">
    <w:name w:val="Cytat Znak"/>
    <w:basedOn w:val="Domylnaczcionkaakapitu"/>
    <w:link w:val="Cytat"/>
    <w:uiPriority w:val="29"/>
    <w:rsid w:val="00FC693F"/>
    <w:rPr>
      <w:rFonts w:ascii="Calibri" w:eastAsia="Calibri" w:hAnsi="Calibri" w:cs="Calibri"/>
      <w:i/>
      <w:iCs/>
      <w:color w:val="000000"/>
      <w:sz w:val="24"/>
      <w:szCs w:val="24"/>
      <w:lang w:val="pl-PL" w:eastAsia="pl-PL" w:bidi="pl-PL"/>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000000"/>
      <w:sz w:val="24"/>
      <w:szCs w:val="24"/>
      <w:lang w:val="pl-PL" w:eastAsia="pl-PL" w:bidi="pl-PL"/>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000000"/>
      <w:sz w:val="24"/>
      <w:szCs w:val="24"/>
      <w:lang w:val="pl-PL" w:eastAsia="pl-PL" w:bidi="pl-PL"/>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000000"/>
      <w:sz w:val="24"/>
      <w:szCs w:val="24"/>
      <w:lang w:val="pl-PL" w:eastAsia="pl-PL" w:bidi="pl-PL"/>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000000"/>
      <w:sz w:val="24"/>
      <w:szCs w:val="24"/>
      <w:lang w:val="pl-PL" w:eastAsia="pl-PL" w:bidi="pl-PL"/>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000000"/>
      <w:sz w:val="24"/>
      <w:szCs w:val="24"/>
      <w:lang w:val="pl-PL" w:eastAsia="pl-PL" w:bidi="pl-PL"/>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000000"/>
      <w:sz w:val="24"/>
      <w:szCs w:val="24"/>
      <w:lang w:val="pl-PL" w:eastAsia="pl-PL" w:bidi="pl-PL"/>
    </w:rPr>
  </w:style>
  <w:style w:type="paragraph" w:styleId="Legenda">
    <w:name w:val="caption"/>
    <w:basedOn w:val="Normalny"/>
    <w:next w:val="Normalny"/>
    <w:uiPriority w:val="35"/>
    <w:semiHidden/>
    <w:unhideWhenUsed/>
    <w:qFormat/>
    <w:rsid w:val="00FC693F"/>
    <w:pPr>
      <w:spacing w:line="240" w:lineRule="auto"/>
    </w:pPr>
    <w:rPr>
      <w:b/>
      <w:bCs/>
    </w:rPr>
  </w:style>
  <w:style w:type="character" w:styleId="Pogrubienie">
    <w:name w:val="Strong"/>
    <w:basedOn w:val="Domylnaczcionkaakapitu"/>
    <w:uiPriority w:val="22"/>
    <w:qFormat/>
    <w:rsid w:val="00FC693F"/>
    <w:rPr>
      <w:rFonts w:ascii="Calibri" w:eastAsia="Calibri" w:hAnsi="Calibri" w:cs="Calibri"/>
      <w:b/>
      <w:bCs/>
      <w:color w:val="000000"/>
      <w:sz w:val="24"/>
      <w:szCs w:val="24"/>
      <w:lang w:val="pl-PL" w:eastAsia="pl-PL" w:bidi="pl-PL"/>
    </w:rPr>
  </w:style>
  <w:style w:type="character" w:styleId="Uwydatnienie">
    <w:name w:val="Emphasis"/>
    <w:basedOn w:val="Domylnaczcionkaakapitu"/>
    <w:uiPriority w:val="20"/>
    <w:qFormat/>
    <w:rsid w:val="00FC693F"/>
    <w:rPr>
      <w:rFonts w:ascii="Calibri" w:eastAsia="Calibri" w:hAnsi="Calibri" w:cs="Calibri"/>
      <w:i/>
      <w:iCs/>
      <w:color w:val="000000"/>
      <w:sz w:val="24"/>
      <w:szCs w:val="24"/>
      <w:lang w:val="pl-PL" w:eastAsia="pl-PL" w:bidi="pl-PL"/>
    </w:rPr>
  </w:style>
  <w:style w:type="paragraph" w:styleId="Cytatintensywny">
    <w:name w:val="Intense Quote"/>
    <w:basedOn w:val="Normalny"/>
    <w:next w:val="Normalny"/>
    <w:link w:val="CytatintensywnyZnak"/>
    <w:uiPriority w:val="30"/>
    <w:qFormat/>
    <w:rsid w:val="00FC693F"/>
    <w:pPr>
      <w:pBdr>
        <w:bottom w:val="single" w:sz="4" w:space="4" w:color="A6A6A6"/>
      </w:pBdr>
      <w:spacing w:before="200" w:after="280"/>
      <w:ind w:left="936" w:right="936"/>
    </w:pPr>
    <w:rPr>
      <w:b/>
      <w:bCs/>
      <w:i/>
      <w:iCs/>
    </w:rPr>
  </w:style>
  <w:style w:type="character" w:customStyle="1" w:styleId="CytatintensywnyZnak">
    <w:name w:val="Cytat intensywny Znak"/>
    <w:basedOn w:val="Domylnaczcionkaakapitu"/>
    <w:link w:val="Cytatintensywny"/>
    <w:uiPriority w:val="30"/>
    <w:rsid w:val="00FC693F"/>
    <w:rPr>
      <w:rFonts w:ascii="Calibri" w:eastAsia="Calibri" w:hAnsi="Calibri" w:cs="Calibri"/>
      <w:b/>
      <w:bCs/>
      <w:i/>
      <w:iCs/>
      <w:color w:val="000000"/>
      <w:sz w:val="24"/>
      <w:szCs w:val="24"/>
      <w:lang w:val="pl-PL" w:eastAsia="pl-PL" w:bidi="pl-PL"/>
    </w:rPr>
  </w:style>
  <w:style w:type="character" w:styleId="Wyrnieniedelikatne">
    <w:name w:val="Subtle Emphasis"/>
    <w:basedOn w:val="Domylnaczcionkaakapitu"/>
    <w:uiPriority w:val="19"/>
    <w:qFormat/>
    <w:rsid w:val="00FC693F"/>
    <w:rPr>
      <w:rFonts w:ascii="Calibri" w:eastAsia="Calibri" w:hAnsi="Calibri" w:cs="Calibri"/>
      <w:i/>
      <w:iCs/>
      <w:color w:val="000000"/>
      <w:sz w:val="24"/>
      <w:szCs w:val="24"/>
      <w:lang w:val="pl-PL" w:eastAsia="pl-PL" w:bidi="pl-PL"/>
    </w:rPr>
  </w:style>
  <w:style w:type="character" w:styleId="Wyrnienieintensywne">
    <w:name w:val="Intense Emphasis"/>
    <w:basedOn w:val="Domylnaczcionkaakapitu"/>
    <w:uiPriority w:val="21"/>
    <w:qFormat/>
    <w:rsid w:val="00FC693F"/>
    <w:rPr>
      <w:rFonts w:ascii="Calibri" w:eastAsia="Calibri" w:hAnsi="Calibri" w:cs="Calibri"/>
      <w:b/>
      <w:bCs/>
      <w:i/>
      <w:iCs/>
      <w:color w:val="000000"/>
      <w:sz w:val="24"/>
      <w:szCs w:val="24"/>
      <w:lang w:val="pl-PL" w:eastAsia="pl-PL" w:bidi="pl-PL"/>
    </w:rPr>
  </w:style>
  <w:style w:type="character" w:styleId="Odwoaniedelikatne">
    <w:name w:val="Subtle Reference"/>
    <w:basedOn w:val="Domylnaczcionkaakapitu"/>
    <w:uiPriority w:val="31"/>
    <w:qFormat/>
    <w:rsid w:val="00FC693F"/>
    <w:rPr>
      <w:rFonts w:ascii="Calibri" w:eastAsia="Calibri" w:hAnsi="Calibri" w:cs="Calibri"/>
      <w:smallCaps/>
      <w:color w:val="000000"/>
      <w:sz w:val="24"/>
      <w:szCs w:val="24"/>
      <w:u w:val="single"/>
      <w:lang w:val="pl-PL" w:eastAsia="pl-PL" w:bidi="pl-PL"/>
    </w:rPr>
  </w:style>
  <w:style w:type="character" w:styleId="Odwoanieintensywne">
    <w:name w:val="Intense Reference"/>
    <w:basedOn w:val="Domylnaczcionkaakapitu"/>
    <w:uiPriority w:val="32"/>
    <w:qFormat/>
    <w:rsid w:val="00FC693F"/>
    <w:rPr>
      <w:rFonts w:ascii="Calibri" w:eastAsia="Calibri" w:hAnsi="Calibri" w:cs="Calibri"/>
      <w:b/>
      <w:bCs/>
      <w:smallCaps/>
      <w:color w:val="000000"/>
      <w:spacing w:val="5"/>
      <w:sz w:val="24"/>
      <w:szCs w:val="24"/>
      <w:u w:val="single"/>
      <w:lang w:val="pl-PL" w:eastAsia="pl-PL" w:bidi="pl-PL"/>
    </w:rPr>
  </w:style>
  <w:style w:type="character" w:styleId="Tytuksiki">
    <w:name w:val="Book Title"/>
    <w:basedOn w:val="Domylnaczcionkaakapitu"/>
    <w:uiPriority w:val="33"/>
    <w:qFormat/>
    <w:rsid w:val="00FC693F"/>
    <w:rPr>
      <w:rFonts w:ascii="Calibri" w:eastAsia="Calibri" w:hAnsi="Calibri" w:cs="Calibri"/>
      <w:b/>
      <w:bCs/>
      <w:smallCaps/>
      <w:color w:val="000000"/>
      <w:spacing w:val="5"/>
      <w:sz w:val="24"/>
      <w:szCs w:val="24"/>
      <w:lang w:val="pl-PL" w:eastAsia="pl-PL" w:bidi="pl-PL"/>
    </w:rPr>
  </w:style>
  <w:style w:type="paragraph" w:styleId="Nagwekspisutreci">
    <w:name w:val="TOC Heading"/>
    <w:basedOn w:val="Nagwek1"/>
    <w:next w:val="Normalny"/>
    <w:uiPriority w:val="39"/>
    <w:semiHidden/>
    <w:unhideWhenUsed/>
    <w:qFormat/>
    <w:rsid w:val="00FC693F"/>
    <w:pPr>
      <w:outlineLvl w:val="9"/>
    </w:pPr>
    <w:rPr>
      <w:rFonts w:ascii="Calibri" w:eastAsia="Calibri" w:hAnsi="Calibri" w:cs="Calibri"/>
    </w:rPr>
  </w:style>
  <w:style w:type="table" w:styleId="Tabela-Siatka">
    <w:name w:val="Table Grid"/>
    <w:basedOn w:val="Standardowy"/>
    <w:uiPriority w:val="59"/>
    <w:rsid w:val="00FC693F"/>
    <w:pPr>
      <w:spacing w:after="0" w:line="240" w:lineRule="auto"/>
    </w:pPr>
    <w:rPr>
      <w:rFonts w:ascii="Calibri" w:eastAsia="Calibri" w:hAnsi="Calibri" w:cs="Calibri"/>
      <w:lang w:val="pl-PL" w:eastAsia="pl-PL" w:bidi="pl-PL"/>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style>
  <w:style w:type="table" w:styleId="Jasnecieniowanie">
    <w:name w:val="Light Shading"/>
    <w:basedOn w:val="Standardowy"/>
    <w:uiPriority w:val="60"/>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la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left w:val="nil"/>
          <w:right w:val="nil"/>
          <w:insideH w:val="nil"/>
          <w:insideV w:val="nil"/>
        </w:tcBorders>
        <w:shd w:val="clear" w:color="auto" w:fill="FFFFFF"/>
      </w:tcPr>
    </w:tblStylePr>
    <w:tblStylePr w:type="band1Horz">
      <w:tblPr/>
      <w:tcPr>
        <w:tcBorders>
          <w:left w:val="nil"/>
          <w:right w:val="nil"/>
          <w:insideH w:val="nil"/>
          <w:insideV w:val="nil"/>
        </w:tcBorders>
        <w:shd w:val="clear" w:color="auto" w:fill="FFFFFF"/>
      </w:tcPr>
    </w:tblStylePr>
  </w:style>
  <w:style w:type="table" w:styleId="Jasnecieniowanieakcent1">
    <w:name w:val="Light Shading Accent 1"/>
    <w:basedOn w:val="Standardowy"/>
    <w:uiPriority w:val="60"/>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la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left w:val="nil"/>
          <w:right w:val="nil"/>
          <w:insideH w:val="nil"/>
          <w:insideV w:val="nil"/>
        </w:tcBorders>
        <w:shd w:val="clear" w:color="auto" w:fill="FFFFFF"/>
      </w:tcPr>
    </w:tblStylePr>
    <w:tblStylePr w:type="band1Horz">
      <w:tblPr/>
      <w:tcPr>
        <w:tcBorders>
          <w:left w:val="nil"/>
          <w:right w:val="nil"/>
          <w:insideH w:val="nil"/>
          <w:insideV w:val="nil"/>
        </w:tcBorders>
        <w:shd w:val="clear" w:color="auto" w:fill="FFFFFF"/>
      </w:tcPr>
    </w:tblStylePr>
  </w:style>
  <w:style w:type="table" w:styleId="Jasnecieniowanieakcent2">
    <w:name w:val="Light Shading Accent 2"/>
    <w:basedOn w:val="Standardowy"/>
    <w:uiPriority w:val="60"/>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la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left w:val="nil"/>
          <w:right w:val="nil"/>
          <w:insideH w:val="nil"/>
          <w:insideV w:val="nil"/>
        </w:tcBorders>
        <w:shd w:val="clear" w:color="auto" w:fill="FFFFFF"/>
      </w:tcPr>
    </w:tblStylePr>
    <w:tblStylePr w:type="band1Horz">
      <w:tblPr/>
      <w:tcPr>
        <w:tcBorders>
          <w:left w:val="nil"/>
          <w:right w:val="nil"/>
          <w:insideH w:val="nil"/>
          <w:insideV w:val="nil"/>
        </w:tcBorders>
        <w:shd w:val="clear" w:color="auto" w:fill="FFFFFF"/>
      </w:tcPr>
    </w:tblStylePr>
  </w:style>
  <w:style w:type="table" w:styleId="Jasnecieniowanieakcent3">
    <w:name w:val="Light Shading Accent 3"/>
    <w:basedOn w:val="Standardowy"/>
    <w:uiPriority w:val="60"/>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la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left w:val="nil"/>
          <w:right w:val="nil"/>
          <w:insideH w:val="nil"/>
          <w:insideV w:val="nil"/>
        </w:tcBorders>
        <w:shd w:val="clear" w:color="auto" w:fill="FFFFFF"/>
      </w:tcPr>
    </w:tblStylePr>
    <w:tblStylePr w:type="band1Horz">
      <w:tblPr/>
      <w:tcPr>
        <w:tcBorders>
          <w:left w:val="nil"/>
          <w:right w:val="nil"/>
          <w:insideH w:val="nil"/>
          <w:insideV w:val="nil"/>
        </w:tcBorders>
        <w:shd w:val="clear" w:color="auto" w:fill="FFFFFF"/>
      </w:tcPr>
    </w:tblStylePr>
  </w:style>
  <w:style w:type="table" w:styleId="Jasnecieniowanieakcent4">
    <w:name w:val="Light Shading Accent 4"/>
    <w:basedOn w:val="Standardowy"/>
    <w:uiPriority w:val="60"/>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la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left w:val="nil"/>
          <w:right w:val="nil"/>
          <w:insideH w:val="nil"/>
          <w:insideV w:val="nil"/>
        </w:tcBorders>
        <w:shd w:val="clear" w:color="auto" w:fill="FFFFFF"/>
      </w:tcPr>
    </w:tblStylePr>
    <w:tblStylePr w:type="band1Horz">
      <w:tblPr/>
      <w:tcPr>
        <w:tcBorders>
          <w:left w:val="nil"/>
          <w:right w:val="nil"/>
          <w:insideH w:val="nil"/>
          <w:insideV w:val="nil"/>
        </w:tcBorders>
        <w:shd w:val="clear" w:color="auto" w:fill="FFFFFF"/>
      </w:tcPr>
    </w:tblStylePr>
  </w:style>
  <w:style w:type="table" w:styleId="Jasnecieniowanieakcent5">
    <w:name w:val="Light Shading Accent 5"/>
    <w:basedOn w:val="Standardowy"/>
    <w:uiPriority w:val="60"/>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la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left w:val="nil"/>
          <w:right w:val="nil"/>
          <w:insideH w:val="nil"/>
          <w:insideV w:val="nil"/>
        </w:tcBorders>
        <w:shd w:val="clear" w:color="auto" w:fill="FFFFFF"/>
      </w:tcPr>
    </w:tblStylePr>
    <w:tblStylePr w:type="band1Horz">
      <w:tblPr/>
      <w:tcPr>
        <w:tcBorders>
          <w:left w:val="nil"/>
          <w:right w:val="nil"/>
          <w:insideH w:val="nil"/>
          <w:insideV w:val="nil"/>
        </w:tcBorders>
        <w:shd w:val="clear" w:color="auto" w:fill="FFFFFF"/>
      </w:tcPr>
    </w:tblStylePr>
  </w:style>
  <w:style w:type="table" w:styleId="Jasnecieniowanieakcent6">
    <w:name w:val="Light Shading Accent 6"/>
    <w:basedOn w:val="Standardowy"/>
    <w:uiPriority w:val="60"/>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lastRow">
      <w:pPr>
        <w:spacing w:before="0" w:after="0" w:line="240" w:lineRule="auto"/>
      </w:pPr>
      <w:rPr>
        <w:rFonts w:ascii="Calibri" w:eastAsia="Calibri" w:hAnsi="Calibri" w:cs="Calibri"/>
        <w:b/>
        <w:bCs/>
        <w:color w:val="000000"/>
        <w:sz w:val="24"/>
        <w:szCs w:val="24"/>
      </w:rPr>
      <w:tblPr/>
      <w:tcPr>
        <w:tcBorders>
          <w:top w:val="single" w:sz="8" w:space="0" w:color="A6A6A6"/>
          <w:left w:val="nil"/>
          <w:bottom w:val="single" w:sz="8" w:space="0" w:color="A6A6A6"/>
          <w:right w:val="nil"/>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left w:val="nil"/>
          <w:right w:val="nil"/>
          <w:insideH w:val="nil"/>
          <w:insideV w:val="nil"/>
        </w:tcBorders>
        <w:shd w:val="clear" w:color="auto" w:fill="FFFFFF"/>
      </w:tcPr>
    </w:tblStylePr>
    <w:tblStylePr w:type="band1Horz">
      <w:tblPr/>
      <w:tcPr>
        <w:tcBorders>
          <w:left w:val="nil"/>
          <w:right w:val="nil"/>
          <w:insideH w:val="nil"/>
          <w:insideV w:val="nil"/>
        </w:tcBorders>
        <w:shd w:val="clear" w:color="auto" w:fill="FFFFFF"/>
      </w:tcPr>
    </w:tblStylePr>
  </w:style>
  <w:style w:type="table" w:styleId="Jasnalista">
    <w:name w:val="Light List"/>
    <w:basedOn w:val="Standardowy"/>
    <w:uiPriority w:val="61"/>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single" w:sz="8" w:space="0" w:color="A6A6A6"/>
          <w:left w:val="single" w:sz="8" w:space="0" w:color="A6A6A6"/>
          <w:bottom w:val="single" w:sz="8" w:space="0" w:color="A6A6A6"/>
          <w:right w:val="single" w:sz="8" w:space="0" w:color="A6A6A6"/>
        </w:tcBorders>
      </w:tcPr>
    </w:tblStylePr>
    <w:tblStylePr w:type="band1Horz">
      <w:tblPr/>
      <w:tcPr>
        <w:tcBorders>
          <w:top w:val="single" w:sz="8" w:space="0" w:color="A6A6A6"/>
          <w:left w:val="single" w:sz="8" w:space="0" w:color="A6A6A6"/>
          <w:bottom w:val="single" w:sz="8" w:space="0" w:color="A6A6A6"/>
          <w:right w:val="single" w:sz="8" w:space="0" w:color="A6A6A6"/>
        </w:tcBorders>
      </w:tcPr>
    </w:tblStylePr>
  </w:style>
  <w:style w:type="table" w:styleId="Jasnalistaakcent1">
    <w:name w:val="Light List Accent 1"/>
    <w:basedOn w:val="Standardowy"/>
    <w:uiPriority w:val="61"/>
    <w:rsid w:val="00FC693F"/>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single" w:sz="8" w:space="0" w:color="A6A6A6"/>
          <w:left w:val="single" w:sz="8" w:space="0" w:color="A6A6A6"/>
          <w:bottom w:val="single" w:sz="8" w:space="0" w:color="A6A6A6"/>
          <w:right w:val="single" w:sz="8" w:space="0" w:color="A6A6A6"/>
        </w:tcBorders>
      </w:tcPr>
    </w:tblStylePr>
    <w:tblStylePr w:type="band1Horz">
      <w:tblPr/>
      <w:tcPr>
        <w:tcBorders>
          <w:top w:val="single" w:sz="8" w:space="0" w:color="A6A6A6"/>
          <w:left w:val="single" w:sz="8" w:space="0" w:color="A6A6A6"/>
          <w:bottom w:val="single" w:sz="8" w:space="0" w:color="A6A6A6"/>
          <w:right w:val="single" w:sz="8" w:space="0" w:color="A6A6A6"/>
        </w:tcBorders>
      </w:tcPr>
    </w:tblStylePr>
  </w:style>
  <w:style w:type="table" w:styleId="Jasnalistaakcent2">
    <w:name w:val="Light List Accent 2"/>
    <w:basedOn w:val="Standardowy"/>
    <w:uiPriority w:val="61"/>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single" w:sz="8" w:space="0" w:color="A6A6A6"/>
          <w:left w:val="single" w:sz="8" w:space="0" w:color="A6A6A6"/>
          <w:bottom w:val="single" w:sz="8" w:space="0" w:color="A6A6A6"/>
          <w:right w:val="single" w:sz="8" w:space="0" w:color="A6A6A6"/>
        </w:tcBorders>
      </w:tcPr>
    </w:tblStylePr>
    <w:tblStylePr w:type="band1Horz">
      <w:tblPr/>
      <w:tcPr>
        <w:tcBorders>
          <w:top w:val="single" w:sz="8" w:space="0" w:color="A6A6A6"/>
          <w:left w:val="single" w:sz="8" w:space="0" w:color="A6A6A6"/>
          <w:bottom w:val="single" w:sz="8" w:space="0" w:color="A6A6A6"/>
          <w:right w:val="single" w:sz="8" w:space="0" w:color="A6A6A6"/>
        </w:tcBorders>
      </w:tcPr>
    </w:tblStylePr>
  </w:style>
  <w:style w:type="table" w:styleId="Jasnalistaakcent3">
    <w:name w:val="Light List Accent 3"/>
    <w:basedOn w:val="Standardowy"/>
    <w:uiPriority w:val="61"/>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single" w:sz="8" w:space="0" w:color="A6A6A6"/>
          <w:left w:val="single" w:sz="8" w:space="0" w:color="A6A6A6"/>
          <w:bottom w:val="single" w:sz="8" w:space="0" w:color="A6A6A6"/>
          <w:right w:val="single" w:sz="8" w:space="0" w:color="A6A6A6"/>
        </w:tcBorders>
      </w:tcPr>
    </w:tblStylePr>
    <w:tblStylePr w:type="band1Horz">
      <w:tblPr/>
      <w:tcPr>
        <w:tcBorders>
          <w:top w:val="single" w:sz="8" w:space="0" w:color="A6A6A6"/>
          <w:left w:val="single" w:sz="8" w:space="0" w:color="A6A6A6"/>
          <w:bottom w:val="single" w:sz="8" w:space="0" w:color="A6A6A6"/>
          <w:right w:val="single" w:sz="8" w:space="0" w:color="A6A6A6"/>
        </w:tcBorders>
      </w:tcPr>
    </w:tblStylePr>
  </w:style>
  <w:style w:type="table" w:styleId="Jasnalistaakcent4">
    <w:name w:val="Light List Accent 4"/>
    <w:basedOn w:val="Standardowy"/>
    <w:uiPriority w:val="61"/>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single" w:sz="8" w:space="0" w:color="A6A6A6"/>
          <w:left w:val="single" w:sz="8" w:space="0" w:color="A6A6A6"/>
          <w:bottom w:val="single" w:sz="8" w:space="0" w:color="A6A6A6"/>
          <w:right w:val="single" w:sz="8" w:space="0" w:color="A6A6A6"/>
        </w:tcBorders>
      </w:tcPr>
    </w:tblStylePr>
    <w:tblStylePr w:type="band1Horz">
      <w:tblPr/>
      <w:tcPr>
        <w:tcBorders>
          <w:top w:val="single" w:sz="8" w:space="0" w:color="A6A6A6"/>
          <w:left w:val="single" w:sz="8" w:space="0" w:color="A6A6A6"/>
          <w:bottom w:val="single" w:sz="8" w:space="0" w:color="A6A6A6"/>
          <w:right w:val="single" w:sz="8" w:space="0" w:color="A6A6A6"/>
        </w:tcBorders>
      </w:tcPr>
    </w:tblStylePr>
  </w:style>
  <w:style w:type="table" w:styleId="Jasnalistaakcent5">
    <w:name w:val="Light List Accent 5"/>
    <w:basedOn w:val="Standardowy"/>
    <w:uiPriority w:val="61"/>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single" w:sz="8" w:space="0" w:color="A6A6A6"/>
          <w:left w:val="single" w:sz="8" w:space="0" w:color="A6A6A6"/>
          <w:bottom w:val="single" w:sz="8" w:space="0" w:color="A6A6A6"/>
          <w:right w:val="single" w:sz="8" w:space="0" w:color="A6A6A6"/>
        </w:tcBorders>
      </w:tcPr>
    </w:tblStylePr>
    <w:tblStylePr w:type="band1Horz">
      <w:tblPr/>
      <w:tcPr>
        <w:tcBorders>
          <w:top w:val="single" w:sz="8" w:space="0" w:color="A6A6A6"/>
          <w:left w:val="single" w:sz="8" w:space="0" w:color="A6A6A6"/>
          <w:bottom w:val="single" w:sz="8" w:space="0" w:color="A6A6A6"/>
          <w:right w:val="single" w:sz="8" w:space="0" w:color="A6A6A6"/>
        </w:tcBorders>
      </w:tcPr>
    </w:tblStylePr>
  </w:style>
  <w:style w:type="table" w:styleId="Jasnalistaakcent6">
    <w:name w:val="Light List Accent 6"/>
    <w:basedOn w:val="Standardowy"/>
    <w:uiPriority w:val="61"/>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single" w:sz="8" w:space="0" w:color="A6A6A6"/>
          <w:left w:val="single" w:sz="8" w:space="0" w:color="A6A6A6"/>
          <w:bottom w:val="single" w:sz="8" w:space="0" w:color="A6A6A6"/>
          <w:right w:val="single" w:sz="8" w:space="0" w:color="A6A6A6"/>
        </w:tcBorders>
      </w:tcPr>
    </w:tblStylePr>
    <w:tblStylePr w:type="band1Horz">
      <w:tblPr/>
      <w:tcPr>
        <w:tcBorders>
          <w:top w:val="single" w:sz="8" w:space="0" w:color="A6A6A6"/>
          <w:left w:val="single" w:sz="8" w:space="0" w:color="A6A6A6"/>
          <w:bottom w:val="single" w:sz="8" w:space="0" w:color="A6A6A6"/>
          <w:right w:val="single" w:sz="8" w:space="0" w:color="A6A6A6"/>
        </w:tcBorders>
      </w:tcPr>
    </w:tblStylePr>
  </w:style>
  <w:style w:type="table" w:styleId="Jasnasiatka">
    <w:name w:val="Light Grid"/>
    <w:basedOn w:val="Standardowy"/>
    <w:uiPriority w:val="62"/>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blStylePr w:type="firstRow">
      <w:pPr>
        <w:spacing w:before="0" w:after="0" w:line="240" w:lineRule="auto"/>
      </w:pPr>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18" w:space="0" w:color="A6A6A6"/>
          <w:right w:val="single" w:sz="8" w:space="0" w:color="A6A6A6"/>
          <w:insideH w:val="nil"/>
          <w:insideV w:val="single" w:sz="8" w:space="0" w:color="A6A6A6"/>
        </w:tcBorders>
      </w:tcPr>
    </w:tblStylePr>
    <w:tblStylePr w:type="lastRow">
      <w:pPr>
        <w:spacing w:before="0" w:after="0" w:line="240" w:lineRule="auto"/>
      </w:pPr>
      <w:rPr>
        <w:rFonts w:asciiTheme="majorHAnsi" w:eastAsiaTheme="majorEastAsia" w:hAnsiTheme="majorHAnsi" w:cstheme="majorBid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single" w:sz="8" w:space="0" w:color="A6A6A6"/>
        </w:tcBorders>
      </w:tcPr>
    </w:tblStylePr>
    <w:tblStylePr w:type="firstCol">
      <w:rPr>
        <w:rFonts w:asciiTheme="majorHAnsi" w:eastAsiaTheme="majorEastAsia" w:hAnsiTheme="majorHAnsi" w:cstheme="majorBidi"/>
        <w:b/>
        <w:bCs/>
        <w:color w:val="000000"/>
        <w:sz w:val="24"/>
        <w:szCs w:val="24"/>
      </w:rPr>
    </w:tblStylePr>
    <w:tblStylePr w:type="lastCol">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8" w:space="0" w:color="A6A6A6"/>
          <w:right w:val="single" w:sz="8" w:space="0" w:color="A6A6A6"/>
        </w:tcBorders>
      </w:tcPr>
    </w:tblStylePr>
    <w:tblStylePr w:type="band1Vert">
      <w:tblPr/>
      <w:tcPr>
        <w:tcBorders>
          <w:top w:val="single" w:sz="8" w:space="0" w:color="A6A6A6"/>
          <w:left w:val="single" w:sz="8" w:space="0" w:color="A6A6A6"/>
          <w:bottom w:val="single" w:sz="8" w:space="0" w:color="A6A6A6"/>
          <w:right w:val="single" w:sz="8" w:space="0" w:color="A6A6A6"/>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V w:val="single" w:sz="8" w:space="0" w:color="A6A6A6"/>
        </w:tcBorders>
        <w:shd w:val="clear" w:color="auto" w:fill="FFFFFF"/>
      </w:tcPr>
    </w:tblStylePr>
    <w:tblStylePr w:type="band2Horz">
      <w:tblPr/>
      <w:tcPr>
        <w:tcBorders>
          <w:top w:val="single" w:sz="8" w:space="0" w:color="A6A6A6"/>
          <w:left w:val="single" w:sz="8" w:space="0" w:color="A6A6A6"/>
          <w:bottom w:val="single" w:sz="8" w:space="0" w:color="A6A6A6"/>
          <w:right w:val="single" w:sz="8" w:space="0" w:color="A6A6A6"/>
          <w:insideV w:val="single" w:sz="8" w:space="0" w:color="A6A6A6"/>
        </w:tcBorders>
      </w:tcPr>
    </w:tblStylePr>
  </w:style>
  <w:style w:type="table" w:styleId="Jasnasiatkaakcent1">
    <w:name w:val="Light Grid Accent 1"/>
    <w:basedOn w:val="Standardowy"/>
    <w:uiPriority w:val="62"/>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blStylePr w:type="firstRow">
      <w:pPr>
        <w:spacing w:before="0" w:after="0" w:line="240" w:lineRule="auto"/>
      </w:pPr>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18" w:space="0" w:color="A6A6A6"/>
          <w:right w:val="single" w:sz="8" w:space="0" w:color="A6A6A6"/>
          <w:insideH w:val="nil"/>
          <w:insideV w:val="single" w:sz="8" w:space="0" w:color="A6A6A6"/>
        </w:tcBorders>
      </w:tcPr>
    </w:tblStylePr>
    <w:tblStylePr w:type="lastRow">
      <w:pPr>
        <w:spacing w:before="0" w:after="0" w:line="240" w:lineRule="auto"/>
      </w:pPr>
      <w:rPr>
        <w:rFonts w:asciiTheme="majorHAnsi" w:eastAsiaTheme="majorEastAsia" w:hAnsiTheme="majorHAnsi" w:cstheme="majorBid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single" w:sz="8" w:space="0" w:color="A6A6A6"/>
        </w:tcBorders>
      </w:tcPr>
    </w:tblStylePr>
    <w:tblStylePr w:type="firstCol">
      <w:rPr>
        <w:rFonts w:asciiTheme="majorHAnsi" w:eastAsiaTheme="majorEastAsia" w:hAnsiTheme="majorHAnsi" w:cstheme="majorBidi"/>
        <w:b/>
        <w:bCs/>
        <w:color w:val="000000"/>
        <w:sz w:val="24"/>
        <w:szCs w:val="24"/>
      </w:rPr>
    </w:tblStylePr>
    <w:tblStylePr w:type="lastCol">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8" w:space="0" w:color="A6A6A6"/>
          <w:right w:val="single" w:sz="8" w:space="0" w:color="A6A6A6"/>
        </w:tcBorders>
      </w:tcPr>
    </w:tblStylePr>
    <w:tblStylePr w:type="band1Vert">
      <w:tblPr/>
      <w:tcPr>
        <w:tcBorders>
          <w:top w:val="single" w:sz="8" w:space="0" w:color="A6A6A6"/>
          <w:left w:val="single" w:sz="8" w:space="0" w:color="A6A6A6"/>
          <w:bottom w:val="single" w:sz="8" w:space="0" w:color="A6A6A6"/>
          <w:right w:val="single" w:sz="8" w:space="0" w:color="A6A6A6"/>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V w:val="single" w:sz="8" w:space="0" w:color="A6A6A6"/>
        </w:tcBorders>
        <w:shd w:val="clear" w:color="auto" w:fill="FFFFFF"/>
      </w:tcPr>
    </w:tblStylePr>
    <w:tblStylePr w:type="band2Horz">
      <w:tblPr/>
      <w:tcPr>
        <w:tcBorders>
          <w:top w:val="single" w:sz="8" w:space="0" w:color="A6A6A6"/>
          <w:left w:val="single" w:sz="8" w:space="0" w:color="A6A6A6"/>
          <w:bottom w:val="single" w:sz="8" w:space="0" w:color="A6A6A6"/>
          <w:right w:val="single" w:sz="8" w:space="0" w:color="A6A6A6"/>
          <w:insideV w:val="single" w:sz="8" w:space="0" w:color="A6A6A6"/>
        </w:tcBorders>
      </w:tcPr>
    </w:tblStylePr>
  </w:style>
  <w:style w:type="table" w:styleId="Jasnasiatkaakcent2">
    <w:name w:val="Light Grid Accent 2"/>
    <w:basedOn w:val="Standardowy"/>
    <w:uiPriority w:val="62"/>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blStylePr w:type="firstRow">
      <w:pPr>
        <w:spacing w:before="0" w:after="0" w:line="240" w:lineRule="auto"/>
      </w:pPr>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18" w:space="0" w:color="A6A6A6"/>
          <w:right w:val="single" w:sz="8" w:space="0" w:color="A6A6A6"/>
          <w:insideH w:val="nil"/>
          <w:insideV w:val="single" w:sz="8" w:space="0" w:color="A6A6A6"/>
        </w:tcBorders>
      </w:tcPr>
    </w:tblStylePr>
    <w:tblStylePr w:type="lastRow">
      <w:pPr>
        <w:spacing w:before="0" w:after="0" w:line="240" w:lineRule="auto"/>
      </w:pPr>
      <w:rPr>
        <w:rFonts w:asciiTheme="majorHAnsi" w:eastAsiaTheme="majorEastAsia" w:hAnsiTheme="majorHAnsi" w:cstheme="majorBid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single" w:sz="8" w:space="0" w:color="A6A6A6"/>
        </w:tcBorders>
      </w:tcPr>
    </w:tblStylePr>
    <w:tblStylePr w:type="firstCol">
      <w:rPr>
        <w:rFonts w:asciiTheme="majorHAnsi" w:eastAsiaTheme="majorEastAsia" w:hAnsiTheme="majorHAnsi" w:cstheme="majorBidi"/>
        <w:b/>
        <w:bCs/>
        <w:color w:val="000000"/>
        <w:sz w:val="24"/>
        <w:szCs w:val="24"/>
      </w:rPr>
    </w:tblStylePr>
    <w:tblStylePr w:type="lastCol">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8" w:space="0" w:color="A6A6A6"/>
          <w:right w:val="single" w:sz="8" w:space="0" w:color="A6A6A6"/>
        </w:tcBorders>
      </w:tcPr>
    </w:tblStylePr>
    <w:tblStylePr w:type="band1Vert">
      <w:tblPr/>
      <w:tcPr>
        <w:tcBorders>
          <w:top w:val="single" w:sz="8" w:space="0" w:color="A6A6A6"/>
          <w:left w:val="single" w:sz="8" w:space="0" w:color="A6A6A6"/>
          <w:bottom w:val="single" w:sz="8" w:space="0" w:color="A6A6A6"/>
          <w:right w:val="single" w:sz="8" w:space="0" w:color="A6A6A6"/>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V w:val="single" w:sz="8" w:space="0" w:color="A6A6A6"/>
        </w:tcBorders>
        <w:shd w:val="clear" w:color="auto" w:fill="FFFFFF"/>
      </w:tcPr>
    </w:tblStylePr>
    <w:tblStylePr w:type="band2Horz">
      <w:tblPr/>
      <w:tcPr>
        <w:tcBorders>
          <w:top w:val="single" w:sz="8" w:space="0" w:color="A6A6A6"/>
          <w:left w:val="single" w:sz="8" w:space="0" w:color="A6A6A6"/>
          <w:bottom w:val="single" w:sz="8" w:space="0" w:color="A6A6A6"/>
          <w:right w:val="single" w:sz="8" w:space="0" w:color="A6A6A6"/>
          <w:insideV w:val="single" w:sz="8" w:space="0" w:color="A6A6A6"/>
        </w:tcBorders>
      </w:tcPr>
    </w:tblStylePr>
  </w:style>
  <w:style w:type="table" w:styleId="Jasnasiatkaakcent3">
    <w:name w:val="Light Grid Accent 3"/>
    <w:basedOn w:val="Standardowy"/>
    <w:uiPriority w:val="62"/>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blStylePr w:type="firstRow">
      <w:pPr>
        <w:spacing w:before="0" w:after="0" w:line="240" w:lineRule="auto"/>
      </w:pPr>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18" w:space="0" w:color="A6A6A6"/>
          <w:right w:val="single" w:sz="8" w:space="0" w:color="A6A6A6"/>
          <w:insideH w:val="nil"/>
          <w:insideV w:val="single" w:sz="8" w:space="0" w:color="A6A6A6"/>
        </w:tcBorders>
      </w:tcPr>
    </w:tblStylePr>
    <w:tblStylePr w:type="lastRow">
      <w:pPr>
        <w:spacing w:before="0" w:after="0" w:line="240" w:lineRule="auto"/>
      </w:pPr>
      <w:rPr>
        <w:rFonts w:asciiTheme="majorHAnsi" w:eastAsiaTheme="majorEastAsia" w:hAnsiTheme="majorHAnsi" w:cstheme="majorBid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single" w:sz="8" w:space="0" w:color="A6A6A6"/>
        </w:tcBorders>
      </w:tcPr>
    </w:tblStylePr>
    <w:tblStylePr w:type="firstCol">
      <w:rPr>
        <w:rFonts w:asciiTheme="majorHAnsi" w:eastAsiaTheme="majorEastAsia" w:hAnsiTheme="majorHAnsi" w:cstheme="majorBidi"/>
        <w:b/>
        <w:bCs/>
        <w:color w:val="000000"/>
        <w:sz w:val="24"/>
        <w:szCs w:val="24"/>
      </w:rPr>
    </w:tblStylePr>
    <w:tblStylePr w:type="lastCol">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8" w:space="0" w:color="A6A6A6"/>
          <w:right w:val="single" w:sz="8" w:space="0" w:color="A6A6A6"/>
        </w:tcBorders>
      </w:tcPr>
    </w:tblStylePr>
    <w:tblStylePr w:type="band1Vert">
      <w:tblPr/>
      <w:tcPr>
        <w:tcBorders>
          <w:top w:val="single" w:sz="8" w:space="0" w:color="A6A6A6"/>
          <w:left w:val="single" w:sz="8" w:space="0" w:color="A6A6A6"/>
          <w:bottom w:val="single" w:sz="8" w:space="0" w:color="A6A6A6"/>
          <w:right w:val="single" w:sz="8" w:space="0" w:color="A6A6A6"/>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V w:val="single" w:sz="8" w:space="0" w:color="A6A6A6"/>
        </w:tcBorders>
        <w:shd w:val="clear" w:color="auto" w:fill="FFFFFF"/>
      </w:tcPr>
    </w:tblStylePr>
    <w:tblStylePr w:type="band2Horz">
      <w:tblPr/>
      <w:tcPr>
        <w:tcBorders>
          <w:top w:val="single" w:sz="8" w:space="0" w:color="A6A6A6"/>
          <w:left w:val="single" w:sz="8" w:space="0" w:color="A6A6A6"/>
          <w:bottom w:val="single" w:sz="8" w:space="0" w:color="A6A6A6"/>
          <w:right w:val="single" w:sz="8" w:space="0" w:color="A6A6A6"/>
          <w:insideV w:val="single" w:sz="8" w:space="0" w:color="A6A6A6"/>
        </w:tcBorders>
      </w:tcPr>
    </w:tblStylePr>
  </w:style>
  <w:style w:type="table" w:styleId="Jasnasiatkaakcent4">
    <w:name w:val="Light Grid Accent 4"/>
    <w:basedOn w:val="Standardowy"/>
    <w:uiPriority w:val="62"/>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blStylePr w:type="firstRow">
      <w:pPr>
        <w:spacing w:before="0" w:after="0" w:line="240" w:lineRule="auto"/>
      </w:pPr>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18" w:space="0" w:color="A6A6A6"/>
          <w:right w:val="single" w:sz="8" w:space="0" w:color="A6A6A6"/>
          <w:insideH w:val="nil"/>
          <w:insideV w:val="single" w:sz="8" w:space="0" w:color="A6A6A6"/>
        </w:tcBorders>
      </w:tcPr>
    </w:tblStylePr>
    <w:tblStylePr w:type="lastRow">
      <w:pPr>
        <w:spacing w:before="0" w:after="0" w:line="240" w:lineRule="auto"/>
      </w:pPr>
      <w:rPr>
        <w:rFonts w:asciiTheme="majorHAnsi" w:eastAsiaTheme="majorEastAsia" w:hAnsiTheme="majorHAnsi" w:cstheme="majorBid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single" w:sz="8" w:space="0" w:color="A6A6A6"/>
        </w:tcBorders>
      </w:tcPr>
    </w:tblStylePr>
    <w:tblStylePr w:type="firstCol">
      <w:rPr>
        <w:rFonts w:asciiTheme="majorHAnsi" w:eastAsiaTheme="majorEastAsia" w:hAnsiTheme="majorHAnsi" w:cstheme="majorBidi"/>
        <w:b/>
        <w:bCs/>
        <w:color w:val="000000"/>
        <w:sz w:val="24"/>
        <w:szCs w:val="24"/>
      </w:rPr>
    </w:tblStylePr>
    <w:tblStylePr w:type="lastCol">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8" w:space="0" w:color="A6A6A6"/>
          <w:right w:val="single" w:sz="8" w:space="0" w:color="A6A6A6"/>
        </w:tcBorders>
      </w:tcPr>
    </w:tblStylePr>
    <w:tblStylePr w:type="band1Vert">
      <w:tblPr/>
      <w:tcPr>
        <w:tcBorders>
          <w:top w:val="single" w:sz="8" w:space="0" w:color="A6A6A6"/>
          <w:left w:val="single" w:sz="8" w:space="0" w:color="A6A6A6"/>
          <w:bottom w:val="single" w:sz="8" w:space="0" w:color="A6A6A6"/>
          <w:right w:val="single" w:sz="8" w:space="0" w:color="A6A6A6"/>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V w:val="single" w:sz="8" w:space="0" w:color="A6A6A6"/>
        </w:tcBorders>
        <w:shd w:val="clear" w:color="auto" w:fill="FFFFFF"/>
      </w:tcPr>
    </w:tblStylePr>
    <w:tblStylePr w:type="band2Horz">
      <w:tblPr/>
      <w:tcPr>
        <w:tcBorders>
          <w:top w:val="single" w:sz="8" w:space="0" w:color="A6A6A6"/>
          <w:left w:val="single" w:sz="8" w:space="0" w:color="A6A6A6"/>
          <w:bottom w:val="single" w:sz="8" w:space="0" w:color="A6A6A6"/>
          <w:right w:val="single" w:sz="8" w:space="0" w:color="A6A6A6"/>
          <w:insideV w:val="single" w:sz="8" w:space="0" w:color="A6A6A6"/>
        </w:tcBorders>
      </w:tcPr>
    </w:tblStylePr>
  </w:style>
  <w:style w:type="table" w:styleId="Jasnasiatkaakcent5">
    <w:name w:val="Light Grid Accent 5"/>
    <w:basedOn w:val="Standardowy"/>
    <w:uiPriority w:val="62"/>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blStylePr w:type="firstRow">
      <w:pPr>
        <w:spacing w:before="0" w:after="0" w:line="240" w:lineRule="auto"/>
      </w:pPr>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18" w:space="0" w:color="A6A6A6"/>
          <w:right w:val="single" w:sz="8" w:space="0" w:color="A6A6A6"/>
          <w:insideH w:val="nil"/>
          <w:insideV w:val="single" w:sz="8" w:space="0" w:color="A6A6A6"/>
        </w:tcBorders>
      </w:tcPr>
    </w:tblStylePr>
    <w:tblStylePr w:type="lastRow">
      <w:pPr>
        <w:spacing w:before="0" w:after="0" w:line="240" w:lineRule="auto"/>
      </w:pPr>
      <w:rPr>
        <w:rFonts w:asciiTheme="majorHAnsi" w:eastAsiaTheme="majorEastAsia" w:hAnsiTheme="majorHAnsi" w:cstheme="majorBid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single" w:sz="8" w:space="0" w:color="A6A6A6"/>
        </w:tcBorders>
      </w:tcPr>
    </w:tblStylePr>
    <w:tblStylePr w:type="firstCol">
      <w:rPr>
        <w:rFonts w:asciiTheme="majorHAnsi" w:eastAsiaTheme="majorEastAsia" w:hAnsiTheme="majorHAnsi" w:cstheme="majorBidi"/>
        <w:b/>
        <w:bCs/>
        <w:color w:val="000000"/>
        <w:sz w:val="24"/>
        <w:szCs w:val="24"/>
      </w:rPr>
    </w:tblStylePr>
    <w:tblStylePr w:type="lastCol">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8" w:space="0" w:color="A6A6A6"/>
          <w:right w:val="single" w:sz="8" w:space="0" w:color="A6A6A6"/>
        </w:tcBorders>
      </w:tcPr>
    </w:tblStylePr>
    <w:tblStylePr w:type="band1Vert">
      <w:tblPr/>
      <w:tcPr>
        <w:tcBorders>
          <w:top w:val="single" w:sz="8" w:space="0" w:color="A6A6A6"/>
          <w:left w:val="single" w:sz="8" w:space="0" w:color="A6A6A6"/>
          <w:bottom w:val="single" w:sz="8" w:space="0" w:color="A6A6A6"/>
          <w:right w:val="single" w:sz="8" w:space="0" w:color="A6A6A6"/>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V w:val="single" w:sz="8" w:space="0" w:color="A6A6A6"/>
        </w:tcBorders>
        <w:shd w:val="clear" w:color="auto" w:fill="FFFFFF"/>
      </w:tcPr>
    </w:tblStylePr>
    <w:tblStylePr w:type="band2Horz">
      <w:tblPr/>
      <w:tcPr>
        <w:tcBorders>
          <w:top w:val="single" w:sz="8" w:space="0" w:color="A6A6A6"/>
          <w:left w:val="single" w:sz="8" w:space="0" w:color="A6A6A6"/>
          <w:bottom w:val="single" w:sz="8" w:space="0" w:color="A6A6A6"/>
          <w:right w:val="single" w:sz="8" w:space="0" w:color="A6A6A6"/>
          <w:insideV w:val="single" w:sz="8" w:space="0" w:color="A6A6A6"/>
        </w:tcBorders>
      </w:tcPr>
    </w:tblStylePr>
  </w:style>
  <w:style w:type="table" w:styleId="Jasnasiatkaakcent6">
    <w:name w:val="Light Grid Accent 6"/>
    <w:basedOn w:val="Standardowy"/>
    <w:uiPriority w:val="62"/>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blStylePr w:type="firstRow">
      <w:pPr>
        <w:spacing w:before="0" w:after="0" w:line="240" w:lineRule="auto"/>
      </w:pPr>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18" w:space="0" w:color="A6A6A6"/>
          <w:right w:val="single" w:sz="8" w:space="0" w:color="A6A6A6"/>
          <w:insideH w:val="nil"/>
          <w:insideV w:val="single" w:sz="8" w:space="0" w:color="A6A6A6"/>
        </w:tcBorders>
      </w:tcPr>
    </w:tblStylePr>
    <w:tblStylePr w:type="lastRow">
      <w:pPr>
        <w:spacing w:before="0" w:after="0" w:line="240" w:lineRule="auto"/>
      </w:pPr>
      <w:rPr>
        <w:rFonts w:asciiTheme="majorHAnsi" w:eastAsiaTheme="majorEastAsia" w:hAnsiTheme="majorHAnsi" w:cstheme="majorBid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single" w:sz="8" w:space="0" w:color="A6A6A6"/>
        </w:tcBorders>
      </w:tcPr>
    </w:tblStylePr>
    <w:tblStylePr w:type="firstCol">
      <w:rPr>
        <w:rFonts w:asciiTheme="majorHAnsi" w:eastAsiaTheme="majorEastAsia" w:hAnsiTheme="majorHAnsi" w:cstheme="majorBidi"/>
        <w:b/>
        <w:bCs/>
        <w:color w:val="000000"/>
        <w:sz w:val="24"/>
        <w:szCs w:val="24"/>
      </w:rPr>
    </w:tblStylePr>
    <w:tblStylePr w:type="lastCol">
      <w:rPr>
        <w:rFonts w:asciiTheme="majorHAnsi" w:eastAsiaTheme="majorEastAsia" w:hAnsiTheme="majorHAnsi" w:cstheme="majorBidi"/>
        <w:b/>
        <w:bCs/>
        <w:color w:val="000000"/>
        <w:sz w:val="24"/>
        <w:szCs w:val="24"/>
      </w:rPr>
      <w:tblPr/>
      <w:tcPr>
        <w:tcBorders>
          <w:top w:val="single" w:sz="8" w:space="0" w:color="A6A6A6"/>
          <w:left w:val="single" w:sz="8" w:space="0" w:color="A6A6A6"/>
          <w:bottom w:val="single" w:sz="8" w:space="0" w:color="A6A6A6"/>
          <w:right w:val="single" w:sz="8" w:space="0" w:color="A6A6A6"/>
        </w:tcBorders>
      </w:tcPr>
    </w:tblStylePr>
    <w:tblStylePr w:type="band1Vert">
      <w:tblPr/>
      <w:tcPr>
        <w:tcBorders>
          <w:top w:val="single" w:sz="8" w:space="0" w:color="A6A6A6"/>
          <w:left w:val="single" w:sz="8" w:space="0" w:color="A6A6A6"/>
          <w:bottom w:val="single" w:sz="8" w:space="0" w:color="A6A6A6"/>
          <w:right w:val="single" w:sz="8" w:space="0" w:color="A6A6A6"/>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V w:val="single" w:sz="8" w:space="0" w:color="A6A6A6"/>
        </w:tcBorders>
        <w:shd w:val="clear" w:color="auto" w:fill="FFFFFF"/>
      </w:tcPr>
    </w:tblStylePr>
    <w:tblStylePr w:type="band2Horz">
      <w:tblPr/>
      <w:tcPr>
        <w:tcBorders>
          <w:top w:val="single" w:sz="8" w:space="0" w:color="A6A6A6"/>
          <w:left w:val="single" w:sz="8" w:space="0" w:color="A6A6A6"/>
          <w:bottom w:val="single" w:sz="8" w:space="0" w:color="A6A6A6"/>
          <w:right w:val="single" w:sz="8" w:space="0" w:color="A6A6A6"/>
          <w:insideV w:val="single" w:sz="8" w:space="0" w:color="A6A6A6"/>
        </w:tcBorders>
      </w:tcPr>
    </w:tblStylePr>
  </w:style>
  <w:style w:type="table" w:styleId="redniecieniowanie1">
    <w:name w:val="Medium Shading 1"/>
    <w:basedOn w:val="Standardowy"/>
    <w:uiPriority w:val="63"/>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lastRow">
      <w:pPr>
        <w:spacing w:before="0" w:after="0" w:line="240" w:lineRule="auto"/>
      </w:pPr>
      <w:rPr>
        <w:rFonts w:ascii="Calibri" w:eastAsia="Calibri" w:hAnsi="Calibri" w:cs="Calibri"/>
        <w:b/>
        <w:bCs/>
        <w:color w:val="000000"/>
        <w:sz w:val="24"/>
        <w:szCs w:val="24"/>
      </w:rPr>
      <w:tblPr/>
      <w:tcPr>
        <w:tcBorders>
          <w:top w:val="single" w:sz="6" w:space="0" w:color="A6A6A6"/>
          <w:left w:val="single" w:sz="8" w:space="0" w:color="A6A6A6"/>
          <w:bottom w:val="single" w:sz="8" w:space="0" w:color="A6A6A6"/>
          <w:right w:val="single" w:sz="8" w:space="0" w:color="A6A6A6"/>
          <w:insideH w:val="nil"/>
          <w:insideV w:val="nil"/>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rPr>
      <w:rFonts w:ascii="Calibri" w:eastAsia="Calibri" w:hAnsi="Calibri" w:cs="Calibri"/>
      <w:lang w:val="pl-PL" w:eastAsia="pl-PL" w:bidi="pl-PL"/>
    </w:rPr>
    <w:tblPr>
      <w:tblStyleRowBandSize w:val="1"/>
      <w:tblStyleColBandSize w:val="1"/>
      <w:tblBorders>
        <w:top w:val="single" w:sz="18" w:space="0" w:color="A6A6A6"/>
        <w:bottom w:val="single" w:sz="1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18" w:space="0" w:color="A6A6A6"/>
          <w:left w:val="nil"/>
          <w:bottom w:val="single" w:sz="18" w:space="0" w:color="A6A6A6"/>
          <w:right w:val="nil"/>
          <w:insideH w:val="nil"/>
          <w:insideV w:val="nil"/>
        </w:tcBorders>
        <w:shd w:val="clear" w:color="auto" w:fill="FFFFFF"/>
      </w:tcPr>
    </w:tblStylePr>
    <w:tblStylePr w:type="lastRow">
      <w:pPr>
        <w:spacing w:before="0" w:after="0" w:line="240" w:lineRule="auto"/>
      </w:pPr>
      <w:rPr>
        <w:rFonts w:ascii="Calibri" w:eastAsia="Calibri" w:hAnsi="Calibri" w:cs="Calibri"/>
        <w:color w:val="000000"/>
        <w:sz w:val="24"/>
        <w:szCs w:val="24"/>
      </w:rPr>
      <w:tblPr/>
      <w:tcPr>
        <w:tcBorders>
          <w:top w:val="single" w:sz="6" w:space="0" w:color="A6A6A6"/>
          <w:left w:val="nil"/>
          <w:bottom w:val="single" w:sz="18" w:space="0" w:color="A6A6A6"/>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Col">
      <w:rPr>
        <w:rFonts w:ascii="Calibri" w:eastAsia="Calibri" w:hAnsi="Calibri" w:cs="Calibri"/>
        <w:b/>
        <w:bCs/>
        <w:color w:val="000000"/>
        <w:sz w:val="24"/>
        <w:szCs w:val="24"/>
      </w:rPr>
      <w:tblPr/>
      <w:tcPr>
        <w:tcBorders>
          <w:left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shd w:val="clear" w:color="auto" w:fill="FFFFFF"/>
      </w:tcPr>
    </w:tblStylePr>
    <w:tblStylePr w:type="neCell">
      <w:tblPr/>
      <w:tcPr>
        <w:tcBorders>
          <w:top w:val="single" w:sz="18" w:space="0" w:color="A6A6A6"/>
          <w:left w:val="nil"/>
          <w:bottom w:val="single" w:sz="18" w:space="0" w:color="A6A6A6"/>
          <w:right w:val="nil"/>
          <w:insideH w:val="nil"/>
          <w:insideV w:val="nil"/>
        </w:tcBorders>
      </w:tcPr>
    </w:tblStylePr>
    <w:tblStylePr w:type="nwCell">
      <w:rPr>
        <w:rFonts w:ascii="Calibri" w:eastAsia="Calibri" w:hAnsi="Calibri" w:cs="Calibri"/>
        <w:color w:val="000000"/>
        <w:sz w:val="24"/>
        <w:szCs w:val="24"/>
      </w:rPr>
      <w:tblPr/>
      <w:tcPr>
        <w:tcBorders>
          <w:top w:val="single" w:sz="18" w:space="0" w:color="A6A6A6"/>
          <w:left w:val="nil"/>
          <w:bottom w:val="single" w:sz="18" w:space="0" w:color="A6A6A6"/>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rPr>
      <w:rFonts w:ascii="Calibri" w:eastAsia="Calibri" w:hAnsi="Calibri" w:cs="Calibri"/>
      <w:lang w:val="pl-PL" w:eastAsia="pl-PL" w:bidi="pl-PL"/>
    </w:rPr>
    <w:tblPr>
      <w:tblStyleRowBandSize w:val="1"/>
      <w:tblStyleColBandSize w:val="1"/>
      <w:tblBorders>
        <w:top w:val="single" w:sz="18" w:space="0" w:color="A6A6A6"/>
        <w:bottom w:val="single" w:sz="1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18" w:space="0" w:color="A6A6A6"/>
          <w:left w:val="nil"/>
          <w:bottom w:val="single" w:sz="18" w:space="0" w:color="A6A6A6"/>
          <w:right w:val="nil"/>
          <w:insideH w:val="nil"/>
          <w:insideV w:val="nil"/>
        </w:tcBorders>
        <w:shd w:val="clear" w:color="auto" w:fill="FFFFFF"/>
      </w:tcPr>
    </w:tblStylePr>
    <w:tblStylePr w:type="lastRow">
      <w:pPr>
        <w:spacing w:before="0" w:after="0" w:line="240" w:lineRule="auto"/>
      </w:pPr>
      <w:rPr>
        <w:rFonts w:ascii="Calibri" w:eastAsia="Calibri" w:hAnsi="Calibri" w:cs="Calibri"/>
        <w:color w:val="000000"/>
        <w:sz w:val="24"/>
        <w:szCs w:val="24"/>
      </w:rPr>
      <w:tblPr/>
      <w:tcPr>
        <w:tcBorders>
          <w:top w:val="single" w:sz="6" w:space="0" w:color="A6A6A6"/>
          <w:left w:val="nil"/>
          <w:bottom w:val="single" w:sz="18" w:space="0" w:color="A6A6A6"/>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Col">
      <w:rPr>
        <w:rFonts w:ascii="Calibri" w:eastAsia="Calibri" w:hAnsi="Calibri" w:cs="Calibri"/>
        <w:b/>
        <w:bCs/>
        <w:color w:val="000000"/>
        <w:sz w:val="24"/>
        <w:szCs w:val="24"/>
      </w:rPr>
      <w:tblPr/>
      <w:tcPr>
        <w:tcBorders>
          <w:left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shd w:val="clear" w:color="auto" w:fill="FFFFFF"/>
      </w:tcPr>
    </w:tblStylePr>
    <w:tblStylePr w:type="neCell">
      <w:tblPr/>
      <w:tcPr>
        <w:tcBorders>
          <w:top w:val="single" w:sz="18" w:space="0" w:color="A6A6A6"/>
          <w:left w:val="nil"/>
          <w:bottom w:val="single" w:sz="18" w:space="0" w:color="A6A6A6"/>
          <w:right w:val="nil"/>
          <w:insideH w:val="nil"/>
          <w:insideV w:val="nil"/>
        </w:tcBorders>
      </w:tcPr>
    </w:tblStylePr>
    <w:tblStylePr w:type="nwCell">
      <w:rPr>
        <w:rFonts w:ascii="Calibri" w:eastAsia="Calibri" w:hAnsi="Calibri" w:cs="Calibri"/>
        <w:color w:val="000000"/>
        <w:sz w:val="24"/>
        <w:szCs w:val="24"/>
      </w:rPr>
      <w:tblPr/>
      <w:tcPr>
        <w:tcBorders>
          <w:top w:val="single" w:sz="18" w:space="0" w:color="A6A6A6"/>
          <w:left w:val="nil"/>
          <w:bottom w:val="single" w:sz="18" w:space="0" w:color="A6A6A6"/>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rPr>
      <w:rFonts w:ascii="Calibri" w:eastAsia="Calibri" w:hAnsi="Calibri" w:cs="Calibri"/>
      <w:lang w:val="pl-PL" w:eastAsia="pl-PL" w:bidi="pl-PL"/>
    </w:rPr>
    <w:tblPr>
      <w:tblStyleRowBandSize w:val="1"/>
      <w:tblStyleColBandSize w:val="1"/>
      <w:tblBorders>
        <w:top w:val="single" w:sz="18" w:space="0" w:color="A6A6A6"/>
        <w:bottom w:val="single" w:sz="1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18" w:space="0" w:color="A6A6A6"/>
          <w:left w:val="nil"/>
          <w:bottom w:val="single" w:sz="18" w:space="0" w:color="A6A6A6"/>
          <w:right w:val="nil"/>
          <w:insideH w:val="nil"/>
          <w:insideV w:val="nil"/>
        </w:tcBorders>
        <w:shd w:val="clear" w:color="auto" w:fill="FFFFFF"/>
      </w:tcPr>
    </w:tblStylePr>
    <w:tblStylePr w:type="lastRow">
      <w:pPr>
        <w:spacing w:before="0" w:after="0" w:line="240" w:lineRule="auto"/>
      </w:pPr>
      <w:rPr>
        <w:rFonts w:ascii="Calibri" w:eastAsia="Calibri" w:hAnsi="Calibri" w:cs="Calibri"/>
        <w:color w:val="000000"/>
        <w:sz w:val="24"/>
        <w:szCs w:val="24"/>
      </w:rPr>
      <w:tblPr/>
      <w:tcPr>
        <w:tcBorders>
          <w:top w:val="single" w:sz="6" w:space="0" w:color="A6A6A6"/>
          <w:left w:val="nil"/>
          <w:bottom w:val="single" w:sz="18" w:space="0" w:color="A6A6A6"/>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Col">
      <w:rPr>
        <w:rFonts w:ascii="Calibri" w:eastAsia="Calibri" w:hAnsi="Calibri" w:cs="Calibri"/>
        <w:b/>
        <w:bCs/>
        <w:color w:val="000000"/>
        <w:sz w:val="24"/>
        <w:szCs w:val="24"/>
      </w:rPr>
      <w:tblPr/>
      <w:tcPr>
        <w:tcBorders>
          <w:left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shd w:val="clear" w:color="auto" w:fill="FFFFFF"/>
      </w:tcPr>
    </w:tblStylePr>
    <w:tblStylePr w:type="neCell">
      <w:tblPr/>
      <w:tcPr>
        <w:tcBorders>
          <w:top w:val="single" w:sz="18" w:space="0" w:color="A6A6A6"/>
          <w:left w:val="nil"/>
          <w:bottom w:val="single" w:sz="18" w:space="0" w:color="A6A6A6"/>
          <w:right w:val="nil"/>
          <w:insideH w:val="nil"/>
          <w:insideV w:val="nil"/>
        </w:tcBorders>
      </w:tcPr>
    </w:tblStylePr>
    <w:tblStylePr w:type="nwCell">
      <w:rPr>
        <w:rFonts w:ascii="Calibri" w:eastAsia="Calibri" w:hAnsi="Calibri" w:cs="Calibri"/>
        <w:color w:val="000000"/>
        <w:sz w:val="24"/>
        <w:szCs w:val="24"/>
      </w:rPr>
      <w:tblPr/>
      <w:tcPr>
        <w:tcBorders>
          <w:top w:val="single" w:sz="18" w:space="0" w:color="A6A6A6"/>
          <w:left w:val="nil"/>
          <w:bottom w:val="single" w:sz="18" w:space="0" w:color="A6A6A6"/>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rPr>
      <w:rFonts w:ascii="Calibri" w:eastAsia="Calibri" w:hAnsi="Calibri" w:cs="Calibri"/>
      <w:lang w:val="pl-PL" w:eastAsia="pl-PL" w:bidi="pl-PL"/>
    </w:rPr>
    <w:tblPr>
      <w:tblStyleRowBandSize w:val="1"/>
      <w:tblStyleColBandSize w:val="1"/>
      <w:tblBorders>
        <w:top w:val="single" w:sz="18" w:space="0" w:color="A6A6A6"/>
        <w:bottom w:val="single" w:sz="1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18" w:space="0" w:color="A6A6A6"/>
          <w:left w:val="nil"/>
          <w:bottom w:val="single" w:sz="18" w:space="0" w:color="A6A6A6"/>
          <w:right w:val="nil"/>
          <w:insideH w:val="nil"/>
          <w:insideV w:val="nil"/>
        </w:tcBorders>
        <w:shd w:val="clear" w:color="auto" w:fill="FFFFFF"/>
      </w:tcPr>
    </w:tblStylePr>
    <w:tblStylePr w:type="lastRow">
      <w:pPr>
        <w:spacing w:before="0" w:after="0" w:line="240" w:lineRule="auto"/>
      </w:pPr>
      <w:rPr>
        <w:rFonts w:ascii="Calibri" w:eastAsia="Calibri" w:hAnsi="Calibri" w:cs="Calibri"/>
        <w:color w:val="000000"/>
        <w:sz w:val="24"/>
        <w:szCs w:val="24"/>
      </w:rPr>
      <w:tblPr/>
      <w:tcPr>
        <w:tcBorders>
          <w:top w:val="single" w:sz="6" w:space="0" w:color="A6A6A6"/>
          <w:left w:val="nil"/>
          <w:bottom w:val="single" w:sz="18" w:space="0" w:color="A6A6A6"/>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Col">
      <w:rPr>
        <w:rFonts w:ascii="Calibri" w:eastAsia="Calibri" w:hAnsi="Calibri" w:cs="Calibri"/>
        <w:b/>
        <w:bCs/>
        <w:color w:val="000000"/>
        <w:sz w:val="24"/>
        <w:szCs w:val="24"/>
      </w:rPr>
      <w:tblPr/>
      <w:tcPr>
        <w:tcBorders>
          <w:left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shd w:val="clear" w:color="auto" w:fill="FFFFFF"/>
      </w:tcPr>
    </w:tblStylePr>
    <w:tblStylePr w:type="neCell">
      <w:tblPr/>
      <w:tcPr>
        <w:tcBorders>
          <w:top w:val="single" w:sz="18" w:space="0" w:color="A6A6A6"/>
          <w:left w:val="nil"/>
          <w:bottom w:val="single" w:sz="18" w:space="0" w:color="A6A6A6"/>
          <w:right w:val="nil"/>
          <w:insideH w:val="nil"/>
          <w:insideV w:val="nil"/>
        </w:tcBorders>
      </w:tcPr>
    </w:tblStylePr>
    <w:tblStylePr w:type="nwCell">
      <w:rPr>
        <w:rFonts w:ascii="Calibri" w:eastAsia="Calibri" w:hAnsi="Calibri" w:cs="Calibri"/>
        <w:color w:val="000000"/>
        <w:sz w:val="24"/>
        <w:szCs w:val="24"/>
      </w:rPr>
      <w:tblPr/>
      <w:tcPr>
        <w:tcBorders>
          <w:top w:val="single" w:sz="18" w:space="0" w:color="A6A6A6"/>
          <w:left w:val="nil"/>
          <w:bottom w:val="single" w:sz="18" w:space="0" w:color="A6A6A6"/>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rPr>
      <w:rFonts w:ascii="Calibri" w:eastAsia="Calibri" w:hAnsi="Calibri" w:cs="Calibri"/>
      <w:lang w:val="pl-PL" w:eastAsia="pl-PL" w:bidi="pl-PL"/>
    </w:rPr>
    <w:tblPr>
      <w:tblStyleRowBandSize w:val="1"/>
      <w:tblStyleColBandSize w:val="1"/>
      <w:tblBorders>
        <w:top w:val="single" w:sz="18" w:space="0" w:color="A6A6A6"/>
        <w:bottom w:val="single" w:sz="1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18" w:space="0" w:color="A6A6A6"/>
          <w:left w:val="nil"/>
          <w:bottom w:val="single" w:sz="18" w:space="0" w:color="A6A6A6"/>
          <w:right w:val="nil"/>
          <w:insideH w:val="nil"/>
          <w:insideV w:val="nil"/>
        </w:tcBorders>
        <w:shd w:val="clear" w:color="auto" w:fill="FFFFFF"/>
      </w:tcPr>
    </w:tblStylePr>
    <w:tblStylePr w:type="lastRow">
      <w:pPr>
        <w:spacing w:before="0" w:after="0" w:line="240" w:lineRule="auto"/>
      </w:pPr>
      <w:rPr>
        <w:rFonts w:ascii="Calibri" w:eastAsia="Calibri" w:hAnsi="Calibri" w:cs="Calibri"/>
        <w:color w:val="000000"/>
        <w:sz w:val="24"/>
        <w:szCs w:val="24"/>
      </w:rPr>
      <w:tblPr/>
      <w:tcPr>
        <w:tcBorders>
          <w:top w:val="single" w:sz="6" w:space="0" w:color="A6A6A6"/>
          <w:left w:val="nil"/>
          <w:bottom w:val="single" w:sz="18" w:space="0" w:color="A6A6A6"/>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Col">
      <w:rPr>
        <w:rFonts w:ascii="Calibri" w:eastAsia="Calibri" w:hAnsi="Calibri" w:cs="Calibri"/>
        <w:b/>
        <w:bCs/>
        <w:color w:val="000000"/>
        <w:sz w:val="24"/>
        <w:szCs w:val="24"/>
      </w:rPr>
      <w:tblPr/>
      <w:tcPr>
        <w:tcBorders>
          <w:left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shd w:val="clear" w:color="auto" w:fill="FFFFFF"/>
      </w:tcPr>
    </w:tblStylePr>
    <w:tblStylePr w:type="neCell">
      <w:tblPr/>
      <w:tcPr>
        <w:tcBorders>
          <w:top w:val="single" w:sz="18" w:space="0" w:color="A6A6A6"/>
          <w:left w:val="nil"/>
          <w:bottom w:val="single" w:sz="18" w:space="0" w:color="A6A6A6"/>
          <w:right w:val="nil"/>
          <w:insideH w:val="nil"/>
          <w:insideV w:val="nil"/>
        </w:tcBorders>
      </w:tcPr>
    </w:tblStylePr>
    <w:tblStylePr w:type="nwCell">
      <w:rPr>
        <w:rFonts w:ascii="Calibri" w:eastAsia="Calibri" w:hAnsi="Calibri" w:cs="Calibri"/>
        <w:color w:val="000000"/>
        <w:sz w:val="24"/>
        <w:szCs w:val="24"/>
      </w:rPr>
      <w:tblPr/>
      <w:tcPr>
        <w:tcBorders>
          <w:top w:val="single" w:sz="18" w:space="0" w:color="A6A6A6"/>
          <w:left w:val="nil"/>
          <w:bottom w:val="single" w:sz="18" w:space="0" w:color="A6A6A6"/>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rPr>
      <w:rFonts w:ascii="Calibri" w:eastAsia="Calibri" w:hAnsi="Calibri" w:cs="Calibri"/>
      <w:lang w:val="pl-PL" w:eastAsia="pl-PL" w:bidi="pl-PL"/>
    </w:rPr>
    <w:tblPr>
      <w:tblStyleRowBandSize w:val="1"/>
      <w:tblStyleColBandSize w:val="1"/>
      <w:tblBorders>
        <w:top w:val="single" w:sz="18" w:space="0" w:color="A6A6A6"/>
        <w:bottom w:val="single" w:sz="1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18" w:space="0" w:color="A6A6A6"/>
          <w:left w:val="nil"/>
          <w:bottom w:val="single" w:sz="18" w:space="0" w:color="A6A6A6"/>
          <w:right w:val="nil"/>
          <w:insideH w:val="nil"/>
          <w:insideV w:val="nil"/>
        </w:tcBorders>
        <w:shd w:val="clear" w:color="auto" w:fill="FFFFFF"/>
      </w:tcPr>
    </w:tblStylePr>
    <w:tblStylePr w:type="lastRow">
      <w:pPr>
        <w:spacing w:before="0" w:after="0" w:line="240" w:lineRule="auto"/>
      </w:pPr>
      <w:rPr>
        <w:rFonts w:ascii="Calibri" w:eastAsia="Calibri" w:hAnsi="Calibri" w:cs="Calibri"/>
        <w:color w:val="000000"/>
        <w:sz w:val="24"/>
        <w:szCs w:val="24"/>
      </w:rPr>
      <w:tblPr/>
      <w:tcPr>
        <w:tcBorders>
          <w:top w:val="single" w:sz="6" w:space="0" w:color="A6A6A6"/>
          <w:left w:val="nil"/>
          <w:bottom w:val="single" w:sz="18" w:space="0" w:color="A6A6A6"/>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Col">
      <w:rPr>
        <w:rFonts w:ascii="Calibri" w:eastAsia="Calibri" w:hAnsi="Calibri" w:cs="Calibri"/>
        <w:b/>
        <w:bCs/>
        <w:color w:val="000000"/>
        <w:sz w:val="24"/>
        <w:szCs w:val="24"/>
      </w:rPr>
      <w:tblPr/>
      <w:tcPr>
        <w:tcBorders>
          <w:left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shd w:val="clear" w:color="auto" w:fill="FFFFFF"/>
      </w:tcPr>
    </w:tblStylePr>
    <w:tblStylePr w:type="neCell">
      <w:tblPr/>
      <w:tcPr>
        <w:tcBorders>
          <w:top w:val="single" w:sz="18" w:space="0" w:color="A6A6A6"/>
          <w:left w:val="nil"/>
          <w:bottom w:val="single" w:sz="18" w:space="0" w:color="A6A6A6"/>
          <w:right w:val="nil"/>
          <w:insideH w:val="nil"/>
          <w:insideV w:val="nil"/>
        </w:tcBorders>
      </w:tcPr>
    </w:tblStylePr>
    <w:tblStylePr w:type="nwCell">
      <w:rPr>
        <w:rFonts w:ascii="Calibri" w:eastAsia="Calibri" w:hAnsi="Calibri" w:cs="Calibri"/>
        <w:color w:val="000000"/>
        <w:sz w:val="24"/>
        <w:szCs w:val="24"/>
      </w:rPr>
      <w:tblPr/>
      <w:tcPr>
        <w:tcBorders>
          <w:top w:val="single" w:sz="18" w:space="0" w:color="A6A6A6"/>
          <w:left w:val="nil"/>
          <w:bottom w:val="single" w:sz="18" w:space="0" w:color="A6A6A6"/>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rPr>
      <w:rFonts w:ascii="Calibri" w:eastAsia="Calibri" w:hAnsi="Calibri" w:cs="Calibri"/>
      <w:lang w:val="pl-PL" w:eastAsia="pl-PL" w:bidi="pl-PL"/>
    </w:rPr>
    <w:tblPr>
      <w:tblStyleRowBandSize w:val="1"/>
      <w:tblStyleColBandSize w:val="1"/>
      <w:tblBorders>
        <w:top w:val="single" w:sz="18" w:space="0" w:color="A6A6A6"/>
        <w:bottom w:val="single" w:sz="18" w:space="0" w:color="A6A6A6"/>
      </w:tblBorders>
    </w:tblPr>
    <w:tblStylePr w:type="firstRow">
      <w:pPr>
        <w:spacing w:before="0" w:after="0" w:line="240" w:lineRule="auto"/>
      </w:pPr>
      <w:rPr>
        <w:rFonts w:ascii="Calibri" w:eastAsia="Calibri" w:hAnsi="Calibri" w:cs="Calibri"/>
        <w:b/>
        <w:bCs/>
        <w:color w:val="000000"/>
        <w:sz w:val="24"/>
        <w:szCs w:val="24"/>
      </w:rPr>
      <w:tblPr/>
      <w:tcPr>
        <w:tcBorders>
          <w:top w:val="single" w:sz="18" w:space="0" w:color="A6A6A6"/>
          <w:left w:val="nil"/>
          <w:bottom w:val="single" w:sz="18" w:space="0" w:color="A6A6A6"/>
          <w:right w:val="nil"/>
          <w:insideH w:val="nil"/>
          <w:insideV w:val="nil"/>
        </w:tcBorders>
        <w:shd w:val="clear" w:color="auto" w:fill="FFFFFF"/>
      </w:tcPr>
    </w:tblStylePr>
    <w:tblStylePr w:type="lastRow">
      <w:pPr>
        <w:spacing w:before="0" w:after="0" w:line="240" w:lineRule="auto"/>
      </w:pPr>
      <w:rPr>
        <w:rFonts w:ascii="Calibri" w:eastAsia="Calibri" w:hAnsi="Calibri" w:cs="Calibri"/>
        <w:color w:val="000000"/>
        <w:sz w:val="24"/>
        <w:szCs w:val="24"/>
      </w:rPr>
      <w:tblPr/>
      <w:tcPr>
        <w:tcBorders>
          <w:top w:val="single" w:sz="6" w:space="0" w:color="A6A6A6"/>
          <w:left w:val="nil"/>
          <w:bottom w:val="single" w:sz="18" w:space="0" w:color="A6A6A6"/>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Col">
      <w:rPr>
        <w:rFonts w:ascii="Calibri" w:eastAsia="Calibri" w:hAnsi="Calibri" w:cs="Calibri"/>
        <w:b/>
        <w:bCs/>
        <w:color w:val="000000"/>
        <w:sz w:val="24"/>
        <w:szCs w:val="24"/>
      </w:rPr>
      <w:tblPr/>
      <w:tcPr>
        <w:tcBorders>
          <w:left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shd w:val="clear" w:color="auto" w:fill="FFFFFF"/>
      </w:tcPr>
    </w:tblStylePr>
    <w:tblStylePr w:type="neCell">
      <w:tblPr/>
      <w:tcPr>
        <w:tcBorders>
          <w:top w:val="single" w:sz="18" w:space="0" w:color="A6A6A6"/>
          <w:left w:val="nil"/>
          <w:bottom w:val="single" w:sz="18" w:space="0" w:color="A6A6A6"/>
          <w:right w:val="nil"/>
          <w:insideH w:val="nil"/>
          <w:insideV w:val="nil"/>
        </w:tcBorders>
      </w:tcPr>
    </w:tblStylePr>
    <w:tblStylePr w:type="nwCell">
      <w:rPr>
        <w:rFonts w:ascii="Calibri" w:eastAsia="Calibri" w:hAnsi="Calibri" w:cs="Calibri"/>
        <w:color w:val="000000"/>
        <w:sz w:val="24"/>
        <w:szCs w:val="24"/>
      </w:rPr>
      <w:tblPr/>
      <w:tcPr>
        <w:tcBorders>
          <w:top w:val="single" w:sz="18" w:space="0" w:color="A6A6A6"/>
          <w:left w:val="nil"/>
          <w:bottom w:val="single" w:sz="18" w:space="0" w:color="A6A6A6"/>
          <w:right w:val="nil"/>
          <w:insideH w:val="nil"/>
          <w:insideV w:val="nil"/>
        </w:tcBorders>
      </w:tcPr>
    </w:tblStylePr>
  </w:style>
  <w:style w:type="table" w:styleId="rednialista1">
    <w:name w:val="Medium List 1"/>
    <w:basedOn w:val="Standardowy"/>
    <w:uiPriority w:val="65"/>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rPr>
        <w:rFonts w:asciiTheme="majorHAnsi" w:eastAsiaTheme="majorEastAsia" w:hAnsiTheme="majorHAnsi" w:cstheme="majorBidi"/>
        <w:color w:val="000000"/>
        <w:sz w:val="24"/>
        <w:szCs w:val="24"/>
      </w:rPr>
      <w:tblPr/>
      <w:tcPr>
        <w:tcBorders>
          <w:top w:val="nil"/>
          <w:bottom w:val="single" w:sz="8" w:space="0" w:color="A6A6A6"/>
        </w:tcBorders>
      </w:tcPr>
    </w:tblStylePr>
    <w:tblStylePr w:type="lastRow">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band1Vert">
      <w:tblPr/>
      <w:tcPr>
        <w:shd w:val="clear" w:color="auto" w:fill="FFFFFF"/>
      </w:tcPr>
    </w:tblStylePr>
    <w:tblStylePr w:type="band1Horz">
      <w:tblPr/>
      <w:tcPr>
        <w:shd w:val="clear" w:color="auto" w:fill="FFFFFF"/>
      </w:tcPr>
    </w:tblStylePr>
  </w:style>
  <w:style w:type="table" w:styleId="rednialista1akcent1">
    <w:name w:val="Medium List 1 Accent 1"/>
    <w:basedOn w:val="Standardowy"/>
    <w:uiPriority w:val="65"/>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rPr>
        <w:rFonts w:asciiTheme="majorHAnsi" w:eastAsiaTheme="majorEastAsia" w:hAnsiTheme="majorHAnsi" w:cstheme="majorBidi"/>
        <w:color w:val="000000"/>
        <w:sz w:val="24"/>
        <w:szCs w:val="24"/>
      </w:rPr>
      <w:tblPr/>
      <w:tcPr>
        <w:tcBorders>
          <w:top w:val="nil"/>
          <w:bottom w:val="single" w:sz="8" w:space="0" w:color="A6A6A6"/>
        </w:tcBorders>
      </w:tcPr>
    </w:tblStylePr>
    <w:tblStylePr w:type="lastRow">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band1Vert">
      <w:tblPr/>
      <w:tcPr>
        <w:shd w:val="clear" w:color="auto" w:fill="FFFFFF"/>
      </w:tcPr>
    </w:tblStylePr>
    <w:tblStylePr w:type="band1Horz">
      <w:tblPr/>
      <w:tcPr>
        <w:shd w:val="clear" w:color="auto" w:fill="FFFFFF"/>
      </w:tcPr>
    </w:tblStylePr>
  </w:style>
  <w:style w:type="table" w:styleId="rednialista1akcent2">
    <w:name w:val="Medium List 1 Accent 2"/>
    <w:basedOn w:val="Standardowy"/>
    <w:uiPriority w:val="65"/>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rPr>
        <w:rFonts w:asciiTheme="majorHAnsi" w:eastAsiaTheme="majorEastAsia" w:hAnsiTheme="majorHAnsi" w:cstheme="majorBidi"/>
        <w:color w:val="000000"/>
        <w:sz w:val="24"/>
        <w:szCs w:val="24"/>
      </w:rPr>
      <w:tblPr/>
      <w:tcPr>
        <w:tcBorders>
          <w:top w:val="nil"/>
          <w:bottom w:val="single" w:sz="8" w:space="0" w:color="A6A6A6"/>
        </w:tcBorders>
      </w:tcPr>
    </w:tblStylePr>
    <w:tblStylePr w:type="lastRow">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band1Vert">
      <w:tblPr/>
      <w:tcPr>
        <w:shd w:val="clear" w:color="auto" w:fill="FFFFFF"/>
      </w:tcPr>
    </w:tblStylePr>
    <w:tblStylePr w:type="band1Horz">
      <w:tblPr/>
      <w:tcPr>
        <w:shd w:val="clear" w:color="auto" w:fill="FFFFFF"/>
      </w:tcPr>
    </w:tblStylePr>
  </w:style>
  <w:style w:type="table" w:styleId="rednialista1akcent3">
    <w:name w:val="Medium List 1 Accent 3"/>
    <w:basedOn w:val="Standardowy"/>
    <w:uiPriority w:val="65"/>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rPr>
        <w:rFonts w:asciiTheme="majorHAnsi" w:eastAsiaTheme="majorEastAsia" w:hAnsiTheme="majorHAnsi" w:cstheme="majorBidi"/>
        <w:color w:val="000000"/>
        <w:sz w:val="24"/>
        <w:szCs w:val="24"/>
      </w:rPr>
      <w:tblPr/>
      <w:tcPr>
        <w:tcBorders>
          <w:top w:val="nil"/>
          <w:bottom w:val="single" w:sz="8" w:space="0" w:color="A6A6A6"/>
        </w:tcBorders>
      </w:tcPr>
    </w:tblStylePr>
    <w:tblStylePr w:type="lastRow">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band1Vert">
      <w:tblPr/>
      <w:tcPr>
        <w:shd w:val="clear" w:color="auto" w:fill="FFFFFF"/>
      </w:tcPr>
    </w:tblStylePr>
    <w:tblStylePr w:type="band1Horz">
      <w:tblPr/>
      <w:tcPr>
        <w:shd w:val="clear" w:color="auto" w:fill="FFFFFF"/>
      </w:tcPr>
    </w:tblStylePr>
  </w:style>
  <w:style w:type="table" w:styleId="rednialista1akcent4">
    <w:name w:val="Medium List 1 Accent 4"/>
    <w:basedOn w:val="Standardowy"/>
    <w:uiPriority w:val="65"/>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rPr>
        <w:rFonts w:asciiTheme="majorHAnsi" w:eastAsiaTheme="majorEastAsia" w:hAnsiTheme="majorHAnsi" w:cstheme="majorBidi"/>
        <w:color w:val="000000"/>
        <w:sz w:val="24"/>
        <w:szCs w:val="24"/>
      </w:rPr>
      <w:tblPr/>
      <w:tcPr>
        <w:tcBorders>
          <w:top w:val="nil"/>
          <w:bottom w:val="single" w:sz="8" w:space="0" w:color="A6A6A6"/>
        </w:tcBorders>
      </w:tcPr>
    </w:tblStylePr>
    <w:tblStylePr w:type="lastRow">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band1Vert">
      <w:tblPr/>
      <w:tcPr>
        <w:shd w:val="clear" w:color="auto" w:fill="FFFFFF"/>
      </w:tcPr>
    </w:tblStylePr>
    <w:tblStylePr w:type="band1Horz">
      <w:tblPr/>
      <w:tcPr>
        <w:shd w:val="clear" w:color="auto" w:fill="FFFFFF"/>
      </w:tcPr>
    </w:tblStylePr>
  </w:style>
  <w:style w:type="table" w:styleId="rednialista1akcent5">
    <w:name w:val="Medium List 1 Accent 5"/>
    <w:basedOn w:val="Standardowy"/>
    <w:uiPriority w:val="65"/>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rPr>
        <w:rFonts w:asciiTheme="majorHAnsi" w:eastAsiaTheme="majorEastAsia" w:hAnsiTheme="majorHAnsi" w:cstheme="majorBidi"/>
        <w:color w:val="000000"/>
        <w:sz w:val="24"/>
        <w:szCs w:val="24"/>
      </w:rPr>
      <w:tblPr/>
      <w:tcPr>
        <w:tcBorders>
          <w:top w:val="nil"/>
          <w:bottom w:val="single" w:sz="8" w:space="0" w:color="A6A6A6"/>
        </w:tcBorders>
      </w:tcPr>
    </w:tblStylePr>
    <w:tblStylePr w:type="lastRow">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band1Vert">
      <w:tblPr/>
      <w:tcPr>
        <w:shd w:val="clear" w:color="auto" w:fill="FFFFFF"/>
      </w:tcPr>
    </w:tblStylePr>
    <w:tblStylePr w:type="band1Horz">
      <w:tblPr/>
      <w:tcPr>
        <w:shd w:val="clear" w:color="auto" w:fill="FFFFFF"/>
      </w:tcPr>
    </w:tblStylePr>
  </w:style>
  <w:style w:type="table" w:styleId="rednialista1akcent6">
    <w:name w:val="Medium List 1 Accent 6"/>
    <w:basedOn w:val="Standardowy"/>
    <w:uiPriority w:val="65"/>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bottom w:val="single" w:sz="8" w:space="0" w:color="A6A6A6"/>
      </w:tblBorders>
    </w:tblPr>
    <w:tblStylePr w:type="firstRow">
      <w:rPr>
        <w:rFonts w:asciiTheme="majorHAnsi" w:eastAsiaTheme="majorEastAsia" w:hAnsiTheme="majorHAnsi" w:cstheme="majorBidi"/>
        <w:color w:val="000000"/>
        <w:sz w:val="24"/>
        <w:szCs w:val="24"/>
      </w:rPr>
      <w:tblPr/>
      <w:tcPr>
        <w:tcBorders>
          <w:top w:val="nil"/>
          <w:bottom w:val="single" w:sz="8" w:space="0" w:color="A6A6A6"/>
        </w:tcBorders>
      </w:tcPr>
    </w:tblStylePr>
    <w:tblStylePr w:type="lastRow">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Pr/>
      <w:tcPr>
        <w:tcBorders>
          <w:top w:val="single" w:sz="8" w:space="0" w:color="A6A6A6"/>
          <w:bottom w:val="single" w:sz="8" w:space="0" w:color="A6A6A6"/>
        </w:tcBorders>
      </w:tcPr>
    </w:tblStylePr>
    <w:tblStylePr w:type="band1Vert">
      <w:tblPr/>
      <w:tcPr>
        <w:shd w:val="clear" w:color="auto" w:fill="FFFFFF"/>
      </w:tcPr>
    </w:tblStylePr>
    <w:tblStylePr w:type="band1Horz">
      <w:tblPr/>
      <w:tcPr>
        <w:shd w:val="clear" w:color="auto" w:fill="FFFFF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rPr>
        <w:rFonts w:ascii="Calibri" w:eastAsia="Calibri" w:hAnsi="Calibri" w:cs="Calibri"/>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tblPr/>
      <w:tcPr>
        <w:tcBorders>
          <w:top w:val="single" w:sz="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8" w:space="0" w:color="A6A6A6"/>
          <w:insideH w:val="nil"/>
          <w:insideV w:val="nil"/>
        </w:tcBorders>
        <w:shd w:val="clear" w:color="auto" w:fill="FFFFFF"/>
      </w:tcPr>
    </w:tblStylePr>
    <w:tblStylePr w:type="lastCol">
      <w:tblPr/>
      <w:tcPr>
        <w:tcBorders>
          <w:top w:val="nil"/>
          <w:left w:val="single" w:sz="8" w:space="0" w:color="A6A6A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tcBorders>
          <w:top w:val="nil"/>
          <w:bottom w:val="nil"/>
          <w:insideH w:val="nil"/>
          <w:insideV w:val="nil"/>
        </w:tcBorders>
        <w:shd w:val="clear" w:color="auto" w:fill="FFFFFF"/>
      </w:tcPr>
    </w:tblStylePr>
    <w:tblStylePr w:type="nwCell">
      <w:tblPr/>
      <w:tcPr>
        <w:shd w:val="clear" w:color="auto" w:fill="FFFFFF"/>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rPr>
        <w:rFonts w:ascii="Calibri" w:eastAsia="Calibri" w:hAnsi="Calibri" w:cs="Calibri"/>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tblPr/>
      <w:tcPr>
        <w:tcBorders>
          <w:top w:val="single" w:sz="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8" w:space="0" w:color="A6A6A6"/>
          <w:insideH w:val="nil"/>
          <w:insideV w:val="nil"/>
        </w:tcBorders>
        <w:shd w:val="clear" w:color="auto" w:fill="FFFFFF"/>
      </w:tcPr>
    </w:tblStylePr>
    <w:tblStylePr w:type="lastCol">
      <w:tblPr/>
      <w:tcPr>
        <w:tcBorders>
          <w:top w:val="nil"/>
          <w:left w:val="single" w:sz="8" w:space="0" w:color="A6A6A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tcBorders>
          <w:top w:val="nil"/>
          <w:bottom w:val="nil"/>
          <w:insideH w:val="nil"/>
          <w:insideV w:val="nil"/>
        </w:tcBorders>
        <w:shd w:val="clear" w:color="auto" w:fill="FFFFFF"/>
      </w:tcPr>
    </w:tblStylePr>
    <w:tblStylePr w:type="nwCell">
      <w:tblPr/>
      <w:tcPr>
        <w:shd w:val="clear" w:color="auto" w:fill="FFFFFF"/>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rPr>
        <w:rFonts w:ascii="Calibri" w:eastAsia="Calibri" w:hAnsi="Calibri" w:cs="Calibri"/>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tblPr/>
      <w:tcPr>
        <w:tcBorders>
          <w:top w:val="single" w:sz="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8" w:space="0" w:color="A6A6A6"/>
          <w:insideH w:val="nil"/>
          <w:insideV w:val="nil"/>
        </w:tcBorders>
        <w:shd w:val="clear" w:color="auto" w:fill="FFFFFF"/>
      </w:tcPr>
    </w:tblStylePr>
    <w:tblStylePr w:type="lastCol">
      <w:tblPr/>
      <w:tcPr>
        <w:tcBorders>
          <w:top w:val="nil"/>
          <w:left w:val="single" w:sz="8" w:space="0" w:color="A6A6A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tcBorders>
          <w:top w:val="nil"/>
          <w:bottom w:val="nil"/>
          <w:insideH w:val="nil"/>
          <w:insideV w:val="nil"/>
        </w:tcBorders>
        <w:shd w:val="clear" w:color="auto" w:fill="FFFFFF"/>
      </w:tcPr>
    </w:tblStylePr>
    <w:tblStylePr w:type="nwCell">
      <w:tblPr/>
      <w:tcPr>
        <w:shd w:val="clear" w:color="auto" w:fill="FFFFFF"/>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rPr>
        <w:rFonts w:ascii="Calibri" w:eastAsia="Calibri" w:hAnsi="Calibri" w:cs="Calibri"/>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tblPr/>
      <w:tcPr>
        <w:tcBorders>
          <w:top w:val="single" w:sz="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8" w:space="0" w:color="A6A6A6"/>
          <w:insideH w:val="nil"/>
          <w:insideV w:val="nil"/>
        </w:tcBorders>
        <w:shd w:val="clear" w:color="auto" w:fill="FFFFFF"/>
      </w:tcPr>
    </w:tblStylePr>
    <w:tblStylePr w:type="lastCol">
      <w:tblPr/>
      <w:tcPr>
        <w:tcBorders>
          <w:top w:val="nil"/>
          <w:left w:val="single" w:sz="8" w:space="0" w:color="A6A6A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tcBorders>
          <w:top w:val="nil"/>
          <w:bottom w:val="nil"/>
          <w:insideH w:val="nil"/>
          <w:insideV w:val="nil"/>
        </w:tcBorders>
        <w:shd w:val="clear" w:color="auto" w:fill="FFFFFF"/>
      </w:tcPr>
    </w:tblStylePr>
    <w:tblStylePr w:type="nwCell">
      <w:tblPr/>
      <w:tcPr>
        <w:shd w:val="clear" w:color="auto" w:fill="FFFFFF"/>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rPr>
        <w:rFonts w:ascii="Calibri" w:eastAsia="Calibri" w:hAnsi="Calibri" w:cs="Calibri"/>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tblPr/>
      <w:tcPr>
        <w:tcBorders>
          <w:top w:val="single" w:sz="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8" w:space="0" w:color="A6A6A6"/>
          <w:insideH w:val="nil"/>
          <w:insideV w:val="nil"/>
        </w:tcBorders>
        <w:shd w:val="clear" w:color="auto" w:fill="FFFFFF"/>
      </w:tcPr>
    </w:tblStylePr>
    <w:tblStylePr w:type="lastCol">
      <w:tblPr/>
      <w:tcPr>
        <w:tcBorders>
          <w:top w:val="nil"/>
          <w:left w:val="single" w:sz="8" w:space="0" w:color="A6A6A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tcBorders>
          <w:top w:val="nil"/>
          <w:bottom w:val="nil"/>
          <w:insideH w:val="nil"/>
          <w:insideV w:val="nil"/>
        </w:tcBorders>
        <w:shd w:val="clear" w:color="auto" w:fill="FFFFFF"/>
      </w:tcPr>
    </w:tblStylePr>
    <w:tblStylePr w:type="nwCell">
      <w:tblPr/>
      <w:tcPr>
        <w:shd w:val="clear" w:color="auto" w:fill="FFFFFF"/>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rPr>
        <w:rFonts w:ascii="Calibri" w:eastAsia="Calibri" w:hAnsi="Calibri" w:cs="Calibri"/>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tblPr/>
      <w:tcPr>
        <w:tcBorders>
          <w:top w:val="single" w:sz="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8" w:space="0" w:color="A6A6A6"/>
          <w:insideH w:val="nil"/>
          <w:insideV w:val="nil"/>
        </w:tcBorders>
        <w:shd w:val="clear" w:color="auto" w:fill="FFFFFF"/>
      </w:tcPr>
    </w:tblStylePr>
    <w:tblStylePr w:type="lastCol">
      <w:tblPr/>
      <w:tcPr>
        <w:tcBorders>
          <w:top w:val="nil"/>
          <w:left w:val="single" w:sz="8" w:space="0" w:color="A6A6A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tcBorders>
          <w:top w:val="nil"/>
          <w:bottom w:val="nil"/>
          <w:insideH w:val="nil"/>
          <w:insideV w:val="nil"/>
        </w:tcBorders>
        <w:shd w:val="clear" w:color="auto" w:fill="FFFFFF"/>
      </w:tcPr>
    </w:tblStylePr>
    <w:tblStylePr w:type="nwCell">
      <w:tblPr/>
      <w:tcPr>
        <w:shd w:val="clear" w:color="auto" w:fill="FFFFFF"/>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tblBorders>
    </w:tblPr>
    <w:tblStylePr w:type="firstRow">
      <w:rPr>
        <w:rFonts w:ascii="Calibri" w:eastAsia="Calibri" w:hAnsi="Calibri" w:cs="Calibri"/>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tblPr/>
      <w:tcPr>
        <w:tcBorders>
          <w:top w:val="single" w:sz="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8" w:space="0" w:color="A6A6A6"/>
          <w:insideH w:val="nil"/>
          <w:insideV w:val="nil"/>
        </w:tcBorders>
        <w:shd w:val="clear" w:color="auto" w:fill="FFFFFF"/>
      </w:tcPr>
    </w:tblStylePr>
    <w:tblStylePr w:type="lastCol">
      <w:tblPr/>
      <w:tcPr>
        <w:tcBorders>
          <w:top w:val="nil"/>
          <w:left w:val="single" w:sz="8" w:space="0" w:color="A6A6A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FFF"/>
      </w:tcPr>
    </w:tblStylePr>
    <w:tblStylePr w:type="band1Horz">
      <w:tblPr/>
      <w:tcPr>
        <w:tcBorders>
          <w:top w:val="nil"/>
          <w:bottom w:val="nil"/>
          <w:insideH w:val="nil"/>
          <w:insideV w:val="nil"/>
        </w:tcBorders>
        <w:shd w:val="clear" w:color="auto" w:fill="FFFFFF"/>
      </w:tcPr>
    </w:tblStylePr>
    <w:tblStylePr w:type="nwCell">
      <w:tblPr/>
      <w:tcPr>
        <w:shd w:val="clear" w:color="auto" w:fill="FFFFFF"/>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StylePr>
    <w:tblStylePr w:type="lastRow">
      <w:rPr>
        <w:rFonts w:ascii="Calibri" w:eastAsia="Calibri" w:hAnsi="Calibri" w:cs="Calibri"/>
        <w:b/>
        <w:bCs/>
        <w:color w:val="000000"/>
        <w:sz w:val="24"/>
        <w:szCs w:val="24"/>
      </w:rPr>
      <w:tblPr/>
      <w:tcPr>
        <w:tcBorders>
          <w:top w:val="single" w:sz="1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shd w:val="clear" w:color="auto" w:fill="FFFFFF"/>
      </w:tcPr>
    </w:tblStylePr>
  </w:style>
  <w:style w:type="table" w:styleId="redniasiatka1akcent1">
    <w:name w:val="Medium Grid 1 Accent 1"/>
    <w:basedOn w:val="Standardowy"/>
    <w:uiPriority w:val="67"/>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StylePr>
    <w:tblStylePr w:type="lastRow">
      <w:rPr>
        <w:rFonts w:ascii="Calibri" w:eastAsia="Calibri" w:hAnsi="Calibri" w:cs="Calibri"/>
        <w:b/>
        <w:bCs/>
        <w:color w:val="000000"/>
        <w:sz w:val="24"/>
        <w:szCs w:val="24"/>
      </w:rPr>
      <w:tblPr/>
      <w:tcPr>
        <w:tcBorders>
          <w:top w:val="single" w:sz="1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shd w:val="clear" w:color="auto" w:fill="FFFFFF"/>
      </w:tcPr>
    </w:tblStylePr>
  </w:style>
  <w:style w:type="table" w:styleId="redniasiatka1akcent2">
    <w:name w:val="Medium Grid 1 Accent 2"/>
    <w:basedOn w:val="Standardowy"/>
    <w:uiPriority w:val="67"/>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StylePr>
    <w:tblStylePr w:type="lastRow">
      <w:rPr>
        <w:rFonts w:ascii="Calibri" w:eastAsia="Calibri" w:hAnsi="Calibri" w:cs="Calibri"/>
        <w:b/>
        <w:bCs/>
        <w:color w:val="000000"/>
        <w:sz w:val="24"/>
        <w:szCs w:val="24"/>
      </w:rPr>
      <w:tblPr/>
      <w:tcPr>
        <w:tcBorders>
          <w:top w:val="single" w:sz="1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shd w:val="clear" w:color="auto" w:fill="FFFFFF"/>
      </w:tcPr>
    </w:tblStylePr>
  </w:style>
  <w:style w:type="table" w:styleId="redniasiatka1akcent3">
    <w:name w:val="Medium Grid 1 Accent 3"/>
    <w:basedOn w:val="Standardowy"/>
    <w:uiPriority w:val="67"/>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StylePr>
    <w:tblStylePr w:type="lastRow">
      <w:rPr>
        <w:rFonts w:ascii="Calibri" w:eastAsia="Calibri" w:hAnsi="Calibri" w:cs="Calibri"/>
        <w:b/>
        <w:bCs/>
        <w:color w:val="000000"/>
        <w:sz w:val="24"/>
        <w:szCs w:val="24"/>
      </w:rPr>
      <w:tblPr/>
      <w:tcPr>
        <w:tcBorders>
          <w:top w:val="single" w:sz="1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shd w:val="clear" w:color="auto" w:fill="FFFFFF"/>
      </w:tcPr>
    </w:tblStylePr>
  </w:style>
  <w:style w:type="table" w:styleId="redniasiatka1akcent4">
    <w:name w:val="Medium Grid 1 Accent 4"/>
    <w:basedOn w:val="Standardowy"/>
    <w:uiPriority w:val="67"/>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StylePr>
    <w:tblStylePr w:type="lastRow">
      <w:rPr>
        <w:rFonts w:ascii="Calibri" w:eastAsia="Calibri" w:hAnsi="Calibri" w:cs="Calibri"/>
        <w:b/>
        <w:bCs/>
        <w:color w:val="000000"/>
        <w:sz w:val="24"/>
        <w:szCs w:val="24"/>
      </w:rPr>
      <w:tblPr/>
      <w:tcPr>
        <w:tcBorders>
          <w:top w:val="single" w:sz="1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shd w:val="clear" w:color="auto" w:fill="FFFFFF"/>
      </w:tcPr>
    </w:tblStylePr>
  </w:style>
  <w:style w:type="table" w:styleId="redniasiatka1akcent5">
    <w:name w:val="Medium Grid 1 Accent 5"/>
    <w:basedOn w:val="Standardowy"/>
    <w:uiPriority w:val="67"/>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StylePr>
    <w:tblStylePr w:type="lastRow">
      <w:rPr>
        <w:rFonts w:ascii="Calibri" w:eastAsia="Calibri" w:hAnsi="Calibri" w:cs="Calibri"/>
        <w:b/>
        <w:bCs/>
        <w:color w:val="000000"/>
        <w:sz w:val="24"/>
        <w:szCs w:val="24"/>
      </w:rPr>
      <w:tblPr/>
      <w:tcPr>
        <w:tcBorders>
          <w:top w:val="single" w:sz="1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shd w:val="clear" w:color="auto" w:fill="FFFFFF"/>
      </w:tcPr>
    </w:tblStylePr>
  </w:style>
  <w:style w:type="table" w:styleId="redniasiatka1akcent6">
    <w:name w:val="Medium Grid 1 Accent 6"/>
    <w:basedOn w:val="Standardowy"/>
    <w:uiPriority w:val="67"/>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StylePr>
    <w:tblStylePr w:type="lastRow">
      <w:rPr>
        <w:rFonts w:ascii="Calibri" w:eastAsia="Calibri" w:hAnsi="Calibri" w:cs="Calibri"/>
        <w:b/>
        <w:bCs/>
        <w:color w:val="000000"/>
        <w:sz w:val="24"/>
        <w:szCs w:val="24"/>
      </w:rPr>
      <w:tblPr/>
      <w:tcPr>
        <w:tcBorders>
          <w:top w:val="single" w:sz="18" w:space="0" w:color="A6A6A6"/>
        </w:tcBorders>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shd w:val="clear" w:color="auto" w:fill="FFFFFF"/>
      </w:tcPr>
    </w:tblStylePr>
    <w:tblStylePr w:type="band1Horz">
      <w:tblPr/>
      <w:tcPr>
        <w:shd w:val="clear" w:color="auto" w:fill="FFFFF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tcBorders>
          <w:top w:val="single" w:sz="12" w:space="0" w:color="A6A6A6"/>
          <w:left w:val="nil"/>
          <w:bottom w:val="nil"/>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nil"/>
          <w:right w:val="nil"/>
          <w:insideH w:val="nil"/>
          <w:insideV w:val="nil"/>
        </w:tcBorders>
        <w:shd w:val="clear" w:color="auto" w:fill="FFFFFF"/>
      </w:tcPr>
    </w:tblStylePr>
    <w:tblStylePr w:type="lastCol">
      <w:rPr>
        <w:rFonts w:ascii="Calibri" w:eastAsia="Calibri" w:hAnsi="Calibri" w:cs="Calibri"/>
        <w:b w:val="0"/>
        <w:bCs w:val="0"/>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tcBorders>
          <w:insideH w:val="single" w:sz="6" w:space="0" w:color="A6A6A6"/>
          <w:insideV w:val="single" w:sz="6" w:space="0" w:color="A6A6A6"/>
        </w:tcBorders>
        <w:shd w:val="clear" w:color="auto" w:fill="FFFFFF"/>
      </w:tcPr>
    </w:tblStylePr>
    <w:tblStylePr w:type="nwCell">
      <w:tblPr/>
      <w:tcPr>
        <w:shd w:val="clear" w:color="auto" w:fill="FFFFFF"/>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tcBorders>
          <w:top w:val="single" w:sz="12" w:space="0" w:color="A6A6A6"/>
          <w:left w:val="nil"/>
          <w:bottom w:val="nil"/>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nil"/>
          <w:right w:val="nil"/>
          <w:insideH w:val="nil"/>
          <w:insideV w:val="nil"/>
        </w:tcBorders>
        <w:shd w:val="clear" w:color="auto" w:fill="FFFFFF"/>
      </w:tcPr>
    </w:tblStylePr>
    <w:tblStylePr w:type="lastCol">
      <w:rPr>
        <w:rFonts w:ascii="Calibri" w:eastAsia="Calibri" w:hAnsi="Calibri" w:cs="Calibri"/>
        <w:b w:val="0"/>
        <w:bCs w:val="0"/>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tcBorders>
          <w:insideH w:val="single" w:sz="6" w:space="0" w:color="A6A6A6"/>
          <w:insideV w:val="single" w:sz="6" w:space="0" w:color="A6A6A6"/>
        </w:tcBorders>
        <w:shd w:val="clear" w:color="auto" w:fill="FFFFFF"/>
      </w:tcPr>
    </w:tblStylePr>
    <w:tblStylePr w:type="nwCell">
      <w:tblPr/>
      <w:tcPr>
        <w:shd w:val="clear" w:color="auto" w:fill="FFFFFF"/>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tcBorders>
          <w:top w:val="single" w:sz="12" w:space="0" w:color="A6A6A6"/>
          <w:left w:val="nil"/>
          <w:bottom w:val="nil"/>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nil"/>
          <w:right w:val="nil"/>
          <w:insideH w:val="nil"/>
          <w:insideV w:val="nil"/>
        </w:tcBorders>
        <w:shd w:val="clear" w:color="auto" w:fill="FFFFFF"/>
      </w:tcPr>
    </w:tblStylePr>
    <w:tblStylePr w:type="lastCol">
      <w:rPr>
        <w:rFonts w:ascii="Calibri" w:eastAsia="Calibri" w:hAnsi="Calibri" w:cs="Calibri"/>
        <w:b w:val="0"/>
        <w:bCs w:val="0"/>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tcBorders>
          <w:insideH w:val="single" w:sz="6" w:space="0" w:color="A6A6A6"/>
          <w:insideV w:val="single" w:sz="6" w:space="0" w:color="A6A6A6"/>
        </w:tcBorders>
        <w:shd w:val="clear" w:color="auto" w:fill="FFFFFF"/>
      </w:tcPr>
    </w:tblStylePr>
    <w:tblStylePr w:type="nwCell">
      <w:tblPr/>
      <w:tcPr>
        <w:shd w:val="clear" w:color="auto" w:fill="FFFFFF"/>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tcBorders>
          <w:top w:val="single" w:sz="12" w:space="0" w:color="A6A6A6"/>
          <w:left w:val="nil"/>
          <w:bottom w:val="nil"/>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nil"/>
          <w:right w:val="nil"/>
          <w:insideH w:val="nil"/>
          <w:insideV w:val="nil"/>
        </w:tcBorders>
        <w:shd w:val="clear" w:color="auto" w:fill="FFFFFF"/>
      </w:tcPr>
    </w:tblStylePr>
    <w:tblStylePr w:type="lastCol">
      <w:rPr>
        <w:rFonts w:ascii="Calibri" w:eastAsia="Calibri" w:hAnsi="Calibri" w:cs="Calibri"/>
        <w:b w:val="0"/>
        <w:bCs w:val="0"/>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tcBorders>
          <w:insideH w:val="single" w:sz="6" w:space="0" w:color="A6A6A6"/>
          <w:insideV w:val="single" w:sz="6" w:space="0" w:color="A6A6A6"/>
        </w:tcBorders>
        <w:shd w:val="clear" w:color="auto" w:fill="FFFFFF"/>
      </w:tcPr>
    </w:tblStylePr>
    <w:tblStylePr w:type="nwCell">
      <w:tblPr/>
      <w:tcPr>
        <w:shd w:val="clear" w:color="auto" w:fill="FFFFFF"/>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tcBorders>
          <w:top w:val="single" w:sz="12" w:space="0" w:color="A6A6A6"/>
          <w:left w:val="nil"/>
          <w:bottom w:val="nil"/>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nil"/>
          <w:right w:val="nil"/>
          <w:insideH w:val="nil"/>
          <w:insideV w:val="nil"/>
        </w:tcBorders>
        <w:shd w:val="clear" w:color="auto" w:fill="FFFFFF"/>
      </w:tcPr>
    </w:tblStylePr>
    <w:tblStylePr w:type="lastCol">
      <w:rPr>
        <w:rFonts w:ascii="Calibri" w:eastAsia="Calibri" w:hAnsi="Calibri" w:cs="Calibri"/>
        <w:b w:val="0"/>
        <w:bCs w:val="0"/>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tcBorders>
          <w:insideH w:val="single" w:sz="6" w:space="0" w:color="A6A6A6"/>
          <w:insideV w:val="single" w:sz="6" w:space="0" w:color="A6A6A6"/>
        </w:tcBorders>
        <w:shd w:val="clear" w:color="auto" w:fill="FFFFFF"/>
      </w:tcPr>
    </w:tblStylePr>
    <w:tblStylePr w:type="nwCell">
      <w:tblPr/>
      <w:tcPr>
        <w:shd w:val="clear" w:color="auto" w:fill="FFFFFF"/>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tcBorders>
          <w:top w:val="single" w:sz="12" w:space="0" w:color="A6A6A6"/>
          <w:left w:val="nil"/>
          <w:bottom w:val="nil"/>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nil"/>
          <w:right w:val="nil"/>
          <w:insideH w:val="nil"/>
          <w:insideV w:val="nil"/>
        </w:tcBorders>
        <w:shd w:val="clear" w:color="auto" w:fill="FFFFFF"/>
      </w:tcPr>
    </w:tblStylePr>
    <w:tblStylePr w:type="lastCol">
      <w:rPr>
        <w:rFonts w:ascii="Calibri" w:eastAsia="Calibri" w:hAnsi="Calibri" w:cs="Calibri"/>
        <w:b w:val="0"/>
        <w:bCs w:val="0"/>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tcBorders>
          <w:insideH w:val="single" w:sz="6" w:space="0" w:color="A6A6A6"/>
          <w:insideV w:val="single" w:sz="6" w:space="0" w:color="A6A6A6"/>
        </w:tcBorders>
        <w:shd w:val="clear" w:color="auto" w:fill="FFFFFF"/>
      </w:tcPr>
    </w:tblStylePr>
    <w:tblStylePr w:type="nwCell">
      <w:tblPr/>
      <w:tcPr>
        <w:shd w:val="clear" w:color="auto" w:fill="FFFFFF"/>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tcBorders>
          <w:top w:val="single" w:sz="12" w:space="0" w:color="A6A6A6"/>
          <w:left w:val="nil"/>
          <w:bottom w:val="nil"/>
          <w:right w:val="nil"/>
          <w:insideH w:val="nil"/>
          <w:insideV w:val="nil"/>
        </w:tcBorders>
        <w:shd w:val="clear" w:color="auto" w:fill="FFFFFF"/>
      </w:tcPr>
    </w:tblStylePr>
    <w:tblStylePr w:type="firstCol">
      <w:rPr>
        <w:rFonts w:ascii="Calibri" w:eastAsia="Calibri" w:hAnsi="Calibri" w:cs="Calibri"/>
        <w:b/>
        <w:bCs/>
        <w:color w:val="000000"/>
        <w:sz w:val="24"/>
        <w:szCs w:val="24"/>
      </w:rPr>
      <w:tblPr/>
      <w:tcPr>
        <w:tcBorders>
          <w:top w:val="nil"/>
          <w:left w:val="nil"/>
          <w:bottom w:val="nil"/>
          <w:right w:val="nil"/>
          <w:insideH w:val="nil"/>
          <w:insideV w:val="nil"/>
        </w:tcBorders>
        <w:shd w:val="clear" w:color="auto" w:fill="FFFFFF"/>
      </w:tcPr>
    </w:tblStylePr>
    <w:tblStylePr w:type="lastCol">
      <w:rPr>
        <w:rFonts w:ascii="Calibri" w:eastAsia="Calibri" w:hAnsi="Calibri" w:cs="Calibri"/>
        <w:b w:val="0"/>
        <w:bCs w:val="0"/>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tcBorders>
          <w:insideH w:val="single" w:sz="6" w:space="0" w:color="A6A6A6"/>
          <w:insideV w:val="single" w:sz="6" w:space="0" w:color="A6A6A6"/>
        </w:tcBorders>
        <w:shd w:val="clear" w:color="auto" w:fill="FFFFFF"/>
      </w:tcPr>
    </w:tblStylePr>
    <w:tblStylePr w:type="nwCell">
      <w:tblPr/>
      <w:tcPr>
        <w:shd w:val="clear" w:color="auto" w:fill="FFFFFF"/>
      </w:tcPr>
    </w:tblStylePr>
  </w:style>
  <w:style w:type="table" w:styleId="redniasiatka3">
    <w:name w:val="Medium Grid 3"/>
    <w:basedOn w:val="Standardowy"/>
    <w:uiPriority w:val="69"/>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Pr>
    <w:tcPr>
      <w:shd w:val="clear" w:color="auto" w:fill="FFFFFF"/>
    </w:tcPr>
    <w:tblStylePr w:type="firstRow">
      <w:rPr>
        <w:rFonts w:ascii="Calibri" w:eastAsia="Calibri" w:hAnsi="Calibri" w:cs="Calibri"/>
        <w:b/>
        <w:bCs/>
        <w:i w:val="0"/>
        <w:iCs w:val="0"/>
        <w:color w:val="000000"/>
        <w:sz w:val="24"/>
        <w:szCs w:val="24"/>
      </w:rPr>
      <w:tblPr/>
      <w:tcPr>
        <w:tcBorders>
          <w:top w:val="single" w:sz="8" w:space="0" w:color="A6A6A6"/>
          <w:left w:val="single" w:sz="8" w:space="0" w:color="A6A6A6"/>
          <w:bottom w:val="single" w:sz="24" w:space="0" w:color="A6A6A6"/>
          <w:right w:val="single" w:sz="8" w:space="0" w:color="A6A6A6"/>
          <w:insideH w:val="nil"/>
          <w:insideV w:val="single" w:sz="8" w:space="0" w:color="A6A6A6"/>
        </w:tcBorders>
        <w:shd w:val="clear" w:color="auto" w:fill="FFFFFF"/>
      </w:tcPr>
    </w:tblStylePr>
    <w:tblStylePr w:type="lastRow">
      <w:rPr>
        <w:rFonts w:ascii="Calibri" w:eastAsia="Calibri" w:hAnsi="Calibri" w:cs="Calibri"/>
        <w:b/>
        <w:bCs/>
        <w:i w:val="0"/>
        <w:iCs w:val="0"/>
        <w:color w:val="000000"/>
        <w:sz w:val="24"/>
        <w:szCs w:val="24"/>
      </w:rPr>
      <w:tblPr/>
      <w:tcPr>
        <w:tcBorders>
          <w:top w:val="single" w:sz="24" w:space="0" w:color="A6A6A6"/>
          <w:left w:val="single" w:sz="8" w:space="0" w:color="A6A6A6"/>
          <w:bottom w:val="single" w:sz="8" w:space="0" w:color="A6A6A6"/>
          <w:right w:val="single" w:sz="8" w:space="0" w:color="A6A6A6"/>
          <w:insideH w:val="nil"/>
          <w:insideV w:val="single" w:sz="8" w:space="0" w:color="A6A6A6"/>
        </w:tcBorders>
        <w:shd w:val="clear" w:color="auto" w:fill="FFFFFF"/>
      </w:tcPr>
    </w:tblStylePr>
    <w:tblStylePr w:type="firstCol">
      <w:rPr>
        <w:rFonts w:ascii="Calibri" w:eastAsia="Calibri" w:hAnsi="Calibri" w:cs="Calibri"/>
        <w:b/>
        <w:bCs/>
        <w:i w:val="0"/>
        <w:iCs w:val="0"/>
        <w:color w:val="000000"/>
        <w:sz w:val="24"/>
        <w:szCs w:val="24"/>
      </w:rPr>
      <w:tblPr/>
      <w:tcPr>
        <w:tcBorders>
          <w:left w:val="single" w:sz="8" w:space="0" w:color="A6A6A6"/>
          <w:right w:val="single" w:sz="24" w:space="0" w:color="A6A6A6"/>
          <w:insideH w:val="nil"/>
          <w:insideV w:val="nil"/>
        </w:tcBorders>
        <w:shd w:val="clear" w:color="auto" w:fill="FFFFFF"/>
      </w:tcPr>
    </w:tblStylePr>
    <w:tblStylePr w:type="lastCol">
      <w:rPr>
        <w:rFonts w:ascii="Calibri" w:eastAsia="Calibri" w:hAnsi="Calibri" w:cs="Calibri"/>
        <w:b/>
        <w:bCs/>
        <w:i w:val="0"/>
        <w:iCs w:val="0"/>
        <w:color w:val="000000"/>
        <w:sz w:val="24"/>
        <w:szCs w:val="24"/>
      </w:rPr>
      <w:tblPr/>
      <w:tcPr>
        <w:tcBorders>
          <w:top w:val="nil"/>
          <w:left w:val="single" w:sz="24" w:space="0" w:color="A6A6A6"/>
          <w:bottom w:val="nil"/>
          <w:right w:val="nil"/>
          <w:insideH w:val="nil"/>
          <w:insideV w:val="nil"/>
        </w:tcBorders>
        <w:shd w:val="clear" w:color="auto" w:fill="FFFFFF"/>
      </w:tcPr>
    </w:tblStylePr>
    <w:tblStylePr w:type="band1Vert">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H w:val="single" w:sz="8" w:space="0" w:color="A6A6A6"/>
          <w:insideV w:val="single" w:sz="8" w:space="0" w:color="A6A6A6"/>
        </w:tcBorders>
        <w:shd w:val="clear" w:color="auto" w:fill="FFFFFF"/>
      </w:tcPr>
    </w:tblStylePr>
  </w:style>
  <w:style w:type="table" w:styleId="redniasiatka3akcent1">
    <w:name w:val="Medium Grid 3 Accent 1"/>
    <w:basedOn w:val="Standardowy"/>
    <w:uiPriority w:val="69"/>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Pr>
    <w:tcPr>
      <w:shd w:val="clear" w:color="auto" w:fill="FFFFFF"/>
    </w:tcPr>
    <w:tblStylePr w:type="firstRow">
      <w:rPr>
        <w:rFonts w:ascii="Calibri" w:eastAsia="Calibri" w:hAnsi="Calibri" w:cs="Calibri"/>
        <w:b/>
        <w:bCs/>
        <w:i w:val="0"/>
        <w:iCs w:val="0"/>
        <w:color w:val="000000"/>
        <w:sz w:val="24"/>
        <w:szCs w:val="24"/>
      </w:rPr>
      <w:tblPr/>
      <w:tcPr>
        <w:tcBorders>
          <w:top w:val="single" w:sz="8" w:space="0" w:color="A6A6A6"/>
          <w:left w:val="single" w:sz="8" w:space="0" w:color="A6A6A6"/>
          <w:bottom w:val="single" w:sz="24" w:space="0" w:color="A6A6A6"/>
          <w:right w:val="single" w:sz="8" w:space="0" w:color="A6A6A6"/>
          <w:insideH w:val="nil"/>
          <w:insideV w:val="single" w:sz="8" w:space="0" w:color="A6A6A6"/>
        </w:tcBorders>
        <w:shd w:val="clear" w:color="auto" w:fill="FFFFFF"/>
      </w:tcPr>
    </w:tblStylePr>
    <w:tblStylePr w:type="lastRow">
      <w:rPr>
        <w:rFonts w:ascii="Calibri" w:eastAsia="Calibri" w:hAnsi="Calibri" w:cs="Calibri"/>
        <w:b/>
        <w:bCs/>
        <w:i w:val="0"/>
        <w:iCs w:val="0"/>
        <w:color w:val="000000"/>
        <w:sz w:val="24"/>
        <w:szCs w:val="24"/>
      </w:rPr>
      <w:tblPr/>
      <w:tcPr>
        <w:tcBorders>
          <w:top w:val="single" w:sz="24" w:space="0" w:color="A6A6A6"/>
          <w:left w:val="single" w:sz="8" w:space="0" w:color="A6A6A6"/>
          <w:bottom w:val="single" w:sz="8" w:space="0" w:color="A6A6A6"/>
          <w:right w:val="single" w:sz="8" w:space="0" w:color="A6A6A6"/>
          <w:insideH w:val="nil"/>
          <w:insideV w:val="single" w:sz="8" w:space="0" w:color="A6A6A6"/>
        </w:tcBorders>
        <w:shd w:val="clear" w:color="auto" w:fill="FFFFFF"/>
      </w:tcPr>
    </w:tblStylePr>
    <w:tblStylePr w:type="firstCol">
      <w:rPr>
        <w:rFonts w:ascii="Calibri" w:eastAsia="Calibri" w:hAnsi="Calibri" w:cs="Calibri"/>
        <w:b/>
        <w:bCs/>
        <w:i w:val="0"/>
        <w:iCs w:val="0"/>
        <w:color w:val="000000"/>
        <w:sz w:val="24"/>
        <w:szCs w:val="24"/>
      </w:rPr>
      <w:tblPr/>
      <w:tcPr>
        <w:tcBorders>
          <w:left w:val="single" w:sz="8" w:space="0" w:color="A6A6A6"/>
          <w:right w:val="single" w:sz="24" w:space="0" w:color="A6A6A6"/>
          <w:insideH w:val="nil"/>
          <w:insideV w:val="nil"/>
        </w:tcBorders>
        <w:shd w:val="clear" w:color="auto" w:fill="FFFFFF"/>
      </w:tcPr>
    </w:tblStylePr>
    <w:tblStylePr w:type="lastCol">
      <w:rPr>
        <w:rFonts w:ascii="Calibri" w:eastAsia="Calibri" w:hAnsi="Calibri" w:cs="Calibri"/>
        <w:b/>
        <w:bCs/>
        <w:i w:val="0"/>
        <w:iCs w:val="0"/>
        <w:color w:val="000000"/>
        <w:sz w:val="24"/>
        <w:szCs w:val="24"/>
      </w:rPr>
      <w:tblPr/>
      <w:tcPr>
        <w:tcBorders>
          <w:top w:val="nil"/>
          <w:left w:val="single" w:sz="24" w:space="0" w:color="A6A6A6"/>
          <w:bottom w:val="nil"/>
          <w:right w:val="nil"/>
          <w:insideH w:val="nil"/>
          <w:insideV w:val="nil"/>
        </w:tcBorders>
        <w:shd w:val="clear" w:color="auto" w:fill="FFFFFF"/>
      </w:tcPr>
    </w:tblStylePr>
    <w:tblStylePr w:type="band1Vert">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H w:val="single" w:sz="8" w:space="0" w:color="A6A6A6"/>
          <w:insideV w:val="single" w:sz="8" w:space="0" w:color="A6A6A6"/>
        </w:tcBorders>
        <w:shd w:val="clear" w:color="auto" w:fill="FFFFFF"/>
      </w:tcPr>
    </w:tblStylePr>
  </w:style>
  <w:style w:type="table" w:styleId="redniasiatka3akcent2">
    <w:name w:val="Medium Grid 3 Accent 2"/>
    <w:basedOn w:val="Standardowy"/>
    <w:uiPriority w:val="69"/>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Pr>
    <w:tcPr>
      <w:shd w:val="clear" w:color="auto" w:fill="FFFFFF"/>
    </w:tcPr>
    <w:tblStylePr w:type="firstRow">
      <w:rPr>
        <w:rFonts w:ascii="Calibri" w:eastAsia="Calibri" w:hAnsi="Calibri" w:cs="Calibri"/>
        <w:b/>
        <w:bCs/>
        <w:i w:val="0"/>
        <w:iCs w:val="0"/>
        <w:color w:val="000000"/>
        <w:sz w:val="24"/>
        <w:szCs w:val="24"/>
      </w:rPr>
      <w:tblPr/>
      <w:tcPr>
        <w:tcBorders>
          <w:top w:val="single" w:sz="8" w:space="0" w:color="A6A6A6"/>
          <w:left w:val="single" w:sz="8" w:space="0" w:color="A6A6A6"/>
          <w:bottom w:val="single" w:sz="24" w:space="0" w:color="A6A6A6"/>
          <w:right w:val="single" w:sz="8" w:space="0" w:color="A6A6A6"/>
          <w:insideH w:val="nil"/>
          <w:insideV w:val="single" w:sz="8" w:space="0" w:color="A6A6A6"/>
        </w:tcBorders>
        <w:shd w:val="clear" w:color="auto" w:fill="FFFFFF"/>
      </w:tcPr>
    </w:tblStylePr>
    <w:tblStylePr w:type="lastRow">
      <w:rPr>
        <w:rFonts w:ascii="Calibri" w:eastAsia="Calibri" w:hAnsi="Calibri" w:cs="Calibri"/>
        <w:b/>
        <w:bCs/>
        <w:i w:val="0"/>
        <w:iCs w:val="0"/>
        <w:color w:val="000000"/>
        <w:sz w:val="24"/>
        <w:szCs w:val="24"/>
      </w:rPr>
      <w:tblPr/>
      <w:tcPr>
        <w:tcBorders>
          <w:top w:val="single" w:sz="24" w:space="0" w:color="A6A6A6"/>
          <w:left w:val="single" w:sz="8" w:space="0" w:color="A6A6A6"/>
          <w:bottom w:val="single" w:sz="8" w:space="0" w:color="A6A6A6"/>
          <w:right w:val="single" w:sz="8" w:space="0" w:color="A6A6A6"/>
          <w:insideH w:val="nil"/>
          <w:insideV w:val="single" w:sz="8" w:space="0" w:color="A6A6A6"/>
        </w:tcBorders>
        <w:shd w:val="clear" w:color="auto" w:fill="FFFFFF"/>
      </w:tcPr>
    </w:tblStylePr>
    <w:tblStylePr w:type="firstCol">
      <w:rPr>
        <w:rFonts w:ascii="Calibri" w:eastAsia="Calibri" w:hAnsi="Calibri" w:cs="Calibri"/>
        <w:b/>
        <w:bCs/>
        <w:i w:val="0"/>
        <w:iCs w:val="0"/>
        <w:color w:val="000000"/>
        <w:sz w:val="24"/>
        <w:szCs w:val="24"/>
      </w:rPr>
      <w:tblPr/>
      <w:tcPr>
        <w:tcBorders>
          <w:left w:val="single" w:sz="8" w:space="0" w:color="A6A6A6"/>
          <w:right w:val="single" w:sz="24" w:space="0" w:color="A6A6A6"/>
          <w:insideH w:val="nil"/>
          <w:insideV w:val="nil"/>
        </w:tcBorders>
        <w:shd w:val="clear" w:color="auto" w:fill="FFFFFF"/>
      </w:tcPr>
    </w:tblStylePr>
    <w:tblStylePr w:type="lastCol">
      <w:rPr>
        <w:rFonts w:ascii="Calibri" w:eastAsia="Calibri" w:hAnsi="Calibri" w:cs="Calibri"/>
        <w:b/>
        <w:bCs/>
        <w:i w:val="0"/>
        <w:iCs w:val="0"/>
        <w:color w:val="000000"/>
        <w:sz w:val="24"/>
        <w:szCs w:val="24"/>
      </w:rPr>
      <w:tblPr/>
      <w:tcPr>
        <w:tcBorders>
          <w:top w:val="nil"/>
          <w:left w:val="single" w:sz="24" w:space="0" w:color="A6A6A6"/>
          <w:bottom w:val="nil"/>
          <w:right w:val="nil"/>
          <w:insideH w:val="nil"/>
          <w:insideV w:val="nil"/>
        </w:tcBorders>
        <w:shd w:val="clear" w:color="auto" w:fill="FFFFFF"/>
      </w:tcPr>
    </w:tblStylePr>
    <w:tblStylePr w:type="band1Vert">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H w:val="single" w:sz="8" w:space="0" w:color="A6A6A6"/>
          <w:insideV w:val="single" w:sz="8" w:space="0" w:color="A6A6A6"/>
        </w:tcBorders>
        <w:shd w:val="clear" w:color="auto" w:fill="FFFFFF"/>
      </w:tcPr>
    </w:tblStylePr>
  </w:style>
  <w:style w:type="table" w:styleId="redniasiatka3akcent3">
    <w:name w:val="Medium Grid 3 Accent 3"/>
    <w:basedOn w:val="Standardowy"/>
    <w:uiPriority w:val="69"/>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Pr>
    <w:tcPr>
      <w:shd w:val="clear" w:color="auto" w:fill="FFFFFF"/>
    </w:tcPr>
    <w:tblStylePr w:type="firstRow">
      <w:rPr>
        <w:rFonts w:ascii="Calibri" w:eastAsia="Calibri" w:hAnsi="Calibri" w:cs="Calibri"/>
        <w:b/>
        <w:bCs/>
        <w:i w:val="0"/>
        <w:iCs w:val="0"/>
        <w:color w:val="000000"/>
        <w:sz w:val="24"/>
        <w:szCs w:val="24"/>
      </w:rPr>
      <w:tblPr/>
      <w:tcPr>
        <w:tcBorders>
          <w:top w:val="single" w:sz="8" w:space="0" w:color="A6A6A6"/>
          <w:left w:val="single" w:sz="8" w:space="0" w:color="A6A6A6"/>
          <w:bottom w:val="single" w:sz="24" w:space="0" w:color="A6A6A6"/>
          <w:right w:val="single" w:sz="8" w:space="0" w:color="A6A6A6"/>
          <w:insideH w:val="nil"/>
          <w:insideV w:val="single" w:sz="8" w:space="0" w:color="A6A6A6"/>
        </w:tcBorders>
        <w:shd w:val="clear" w:color="auto" w:fill="FFFFFF"/>
      </w:tcPr>
    </w:tblStylePr>
    <w:tblStylePr w:type="lastRow">
      <w:rPr>
        <w:rFonts w:ascii="Calibri" w:eastAsia="Calibri" w:hAnsi="Calibri" w:cs="Calibri"/>
        <w:b/>
        <w:bCs/>
        <w:i w:val="0"/>
        <w:iCs w:val="0"/>
        <w:color w:val="000000"/>
        <w:sz w:val="24"/>
        <w:szCs w:val="24"/>
      </w:rPr>
      <w:tblPr/>
      <w:tcPr>
        <w:tcBorders>
          <w:top w:val="single" w:sz="24" w:space="0" w:color="A6A6A6"/>
          <w:left w:val="single" w:sz="8" w:space="0" w:color="A6A6A6"/>
          <w:bottom w:val="single" w:sz="8" w:space="0" w:color="A6A6A6"/>
          <w:right w:val="single" w:sz="8" w:space="0" w:color="A6A6A6"/>
          <w:insideH w:val="nil"/>
          <w:insideV w:val="single" w:sz="8" w:space="0" w:color="A6A6A6"/>
        </w:tcBorders>
        <w:shd w:val="clear" w:color="auto" w:fill="FFFFFF"/>
      </w:tcPr>
    </w:tblStylePr>
    <w:tblStylePr w:type="firstCol">
      <w:rPr>
        <w:rFonts w:ascii="Calibri" w:eastAsia="Calibri" w:hAnsi="Calibri" w:cs="Calibri"/>
        <w:b/>
        <w:bCs/>
        <w:i w:val="0"/>
        <w:iCs w:val="0"/>
        <w:color w:val="000000"/>
        <w:sz w:val="24"/>
        <w:szCs w:val="24"/>
      </w:rPr>
      <w:tblPr/>
      <w:tcPr>
        <w:tcBorders>
          <w:left w:val="single" w:sz="8" w:space="0" w:color="A6A6A6"/>
          <w:right w:val="single" w:sz="24" w:space="0" w:color="A6A6A6"/>
          <w:insideH w:val="nil"/>
          <w:insideV w:val="nil"/>
        </w:tcBorders>
        <w:shd w:val="clear" w:color="auto" w:fill="FFFFFF"/>
      </w:tcPr>
    </w:tblStylePr>
    <w:tblStylePr w:type="lastCol">
      <w:rPr>
        <w:rFonts w:ascii="Calibri" w:eastAsia="Calibri" w:hAnsi="Calibri" w:cs="Calibri"/>
        <w:b/>
        <w:bCs/>
        <w:i w:val="0"/>
        <w:iCs w:val="0"/>
        <w:color w:val="000000"/>
        <w:sz w:val="24"/>
        <w:szCs w:val="24"/>
      </w:rPr>
      <w:tblPr/>
      <w:tcPr>
        <w:tcBorders>
          <w:top w:val="nil"/>
          <w:left w:val="single" w:sz="24" w:space="0" w:color="A6A6A6"/>
          <w:bottom w:val="nil"/>
          <w:right w:val="nil"/>
          <w:insideH w:val="nil"/>
          <w:insideV w:val="nil"/>
        </w:tcBorders>
        <w:shd w:val="clear" w:color="auto" w:fill="FFFFFF"/>
      </w:tcPr>
    </w:tblStylePr>
    <w:tblStylePr w:type="band1Vert">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H w:val="single" w:sz="8" w:space="0" w:color="A6A6A6"/>
          <w:insideV w:val="single" w:sz="8" w:space="0" w:color="A6A6A6"/>
        </w:tcBorders>
        <w:shd w:val="clear" w:color="auto" w:fill="FFFFFF"/>
      </w:tcPr>
    </w:tblStylePr>
  </w:style>
  <w:style w:type="table" w:styleId="redniasiatka3akcent4">
    <w:name w:val="Medium Grid 3 Accent 4"/>
    <w:basedOn w:val="Standardowy"/>
    <w:uiPriority w:val="69"/>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Pr>
    <w:tcPr>
      <w:shd w:val="clear" w:color="auto" w:fill="FFFFFF"/>
    </w:tcPr>
    <w:tblStylePr w:type="firstRow">
      <w:rPr>
        <w:rFonts w:ascii="Calibri" w:eastAsia="Calibri" w:hAnsi="Calibri" w:cs="Calibri"/>
        <w:b/>
        <w:bCs/>
        <w:i w:val="0"/>
        <w:iCs w:val="0"/>
        <w:color w:val="000000"/>
        <w:sz w:val="24"/>
        <w:szCs w:val="24"/>
      </w:rPr>
      <w:tblPr/>
      <w:tcPr>
        <w:tcBorders>
          <w:top w:val="single" w:sz="8" w:space="0" w:color="A6A6A6"/>
          <w:left w:val="single" w:sz="8" w:space="0" w:color="A6A6A6"/>
          <w:bottom w:val="single" w:sz="24" w:space="0" w:color="A6A6A6"/>
          <w:right w:val="single" w:sz="8" w:space="0" w:color="A6A6A6"/>
          <w:insideH w:val="nil"/>
          <w:insideV w:val="single" w:sz="8" w:space="0" w:color="A6A6A6"/>
        </w:tcBorders>
        <w:shd w:val="clear" w:color="auto" w:fill="FFFFFF"/>
      </w:tcPr>
    </w:tblStylePr>
    <w:tblStylePr w:type="lastRow">
      <w:rPr>
        <w:rFonts w:ascii="Calibri" w:eastAsia="Calibri" w:hAnsi="Calibri" w:cs="Calibri"/>
        <w:b/>
        <w:bCs/>
        <w:i w:val="0"/>
        <w:iCs w:val="0"/>
        <w:color w:val="000000"/>
        <w:sz w:val="24"/>
        <w:szCs w:val="24"/>
      </w:rPr>
      <w:tblPr/>
      <w:tcPr>
        <w:tcBorders>
          <w:top w:val="single" w:sz="24" w:space="0" w:color="A6A6A6"/>
          <w:left w:val="single" w:sz="8" w:space="0" w:color="A6A6A6"/>
          <w:bottom w:val="single" w:sz="8" w:space="0" w:color="A6A6A6"/>
          <w:right w:val="single" w:sz="8" w:space="0" w:color="A6A6A6"/>
          <w:insideH w:val="nil"/>
          <w:insideV w:val="single" w:sz="8" w:space="0" w:color="A6A6A6"/>
        </w:tcBorders>
        <w:shd w:val="clear" w:color="auto" w:fill="FFFFFF"/>
      </w:tcPr>
    </w:tblStylePr>
    <w:tblStylePr w:type="firstCol">
      <w:rPr>
        <w:rFonts w:ascii="Calibri" w:eastAsia="Calibri" w:hAnsi="Calibri" w:cs="Calibri"/>
        <w:b/>
        <w:bCs/>
        <w:i w:val="0"/>
        <w:iCs w:val="0"/>
        <w:color w:val="000000"/>
        <w:sz w:val="24"/>
        <w:szCs w:val="24"/>
      </w:rPr>
      <w:tblPr/>
      <w:tcPr>
        <w:tcBorders>
          <w:left w:val="single" w:sz="8" w:space="0" w:color="A6A6A6"/>
          <w:right w:val="single" w:sz="24" w:space="0" w:color="A6A6A6"/>
          <w:insideH w:val="nil"/>
          <w:insideV w:val="nil"/>
        </w:tcBorders>
        <w:shd w:val="clear" w:color="auto" w:fill="FFFFFF"/>
      </w:tcPr>
    </w:tblStylePr>
    <w:tblStylePr w:type="lastCol">
      <w:rPr>
        <w:rFonts w:ascii="Calibri" w:eastAsia="Calibri" w:hAnsi="Calibri" w:cs="Calibri"/>
        <w:b/>
        <w:bCs/>
        <w:i w:val="0"/>
        <w:iCs w:val="0"/>
        <w:color w:val="000000"/>
        <w:sz w:val="24"/>
        <w:szCs w:val="24"/>
      </w:rPr>
      <w:tblPr/>
      <w:tcPr>
        <w:tcBorders>
          <w:top w:val="nil"/>
          <w:left w:val="single" w:sz="24" w:space="0" w:color="A6A6A6"/>
          <w:bottom w:val="nil"/>
          <w:right w:val="nil"/>
          <w:insideH w:val="nil"/>
          <w:insideV w:val="nil"/>
        </w:tcBorders>
        <w:shd w:val="clear" w:color="auto" w:fill="FFFFFF"/>
      </w:tcPr>
    </w:tblStylePr>
    <w:tblStylePr w:type="band1Vert">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H w:val="single" w:sz="8" w:space="0" w:color="A6A6A6"/>
          <w:insideV w:val="single" w:sz="8" w:space="0" w:color="A6A6A6"/>
        </w:tcBorders>
        <w:shd w:val="clear" w:color="auto" w:fill="FFFFFF"/>
      </w:tcPr>
    </w:tblStylePr>
  </w:style>
  <w:style w:type="table" w:styleId="redniasiatka3akcent5">
    <w:name w:val="Medium Grid 3 Accent 5"/>
    <w:basedOn w:val="Standardowy"/>
    <w:uiPriority w:val="69"/>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Pr>
    <w:tcPr>
      <w:shd w:val="clear" w:color="auto" w:fill="FFFFFF"/>
    </w:tcPr>
    <w:tblStylePr w:type="firstRow">
      <w:rPr>
        <w:rFonts w:ascii="Calibri" w:eastAsia="Calibri" w:hAnsi="Calibri" w:cs="Calibri"/>
        <w:b/>
        <w:bCs/>
        <w:i w:val="0"/>
        <w:iCs w:val="0"/>
        <w:color w:val="000000"/>
        <w:sz w:val="24"/>
        <w:szCs w:val="24"/>
      </w:rPr>
      <w:tblPr/>
      <w:tcPr>
        <w:tcBorders>
          <w:top w:val="single" w:sz="8" w:space="0" w:color="A6A6A6"/>
          <w:left w:val="single" w:sz="8" w:space="0" w:color="A6A6A6"/>
          <w:bottom w:val="single" w:sz="24" w:space="0" w:color="A6A6A6"/>
          <w:right w:val="single" w:sz="8" w:space="0" w:color="A6A6A6"/>
          <w:insideH w:val="nil"/>
          <w:insideV w:val="single" w:sz="8" w:space="0" w:color="A6A6A6"/>
        </w:tcBorders>
        <w:shd w:val="clear" w:color="auto" w:fill="FFFFFF"/>
      </w:tcPr>
    </w:tblStylePr>
    <w:tblStylePr w:type="lastRow">
      <w:rPr>
        <w:rFonts w:ascii="Calibri" w:eastAsia="Calibri" w:hAnsi="Calibri" w:cs="Calibri"/>
        <w:b/>
        <w:bCs/>
        <w:i w:val="0"/>
        <w:iCs w:val="0"/>
        <w:color w:val="000000"/>
        <w:sz w:val="24"/>
        <w:szCs w:val="24"/>
      </w:rPr>
      <w:tblPr/>
      <w:tcPr>
        <w:tcBorders>
          <w:top w:val="single" w:sz="24" w:space="0" w:color="A6A6A6"/>
          <w:left w:val="single" w:sz="8" w:space="0" w:color="A6A6A6"/>
          <w:bottom w:val="single" w:sz="8" w:space="0" w:color="A6A6A6"/>
          <w:right w:val="single" w:sz="8" w:space="0" w:color="A6A6A6"/>
          <w:insideH w:val="nil"/>
          <w:insideV w:val="single" w:sz="8" w:space="0" w:color="A6A6A6"/>
        </w:tcBorders>
        <w:shd w:val="clear" w:color="auto" w:fill="FFFFFF"/>
      </w:tcPr>
    </w:tblStylePr>
    <w:tblStylePr w:type="firstCol">
      <w:rPr>
        <w:rFonts w:ascii="Calibri" w:eastAsia="Calibri" w:hAnsi="Calibri" w:cs="Calibri"/>
        <w:b/>
        <w:bCs/>
        <w:i w:val="0"/>
        <w:iCs w:val="0"/>
        <w:color w:val="000000"/>
        <w:sz w:val="24"/>
        <w:szCs w:val="24"/>
      </w:rPr>
      <w:tblPr/>
      <w:tcPr>
        <w:tcBorders>
          <w:left w:val="single" w:sz="8" w:space="0" w:color="A6A6A6"/>
          <w:right w:val="single" w:sz="24" w:space="0" w:color="A6A6A6"/>
          <w:insideH w:val="nil"/>
          <w:insideV w:val="nil"/>
        </w:tcBorders>
        <w:shd w:val="clear" w:color="auto" w:fill="FFFFFF"/>
      </w:tcPr>
    </w:tblStylePr>
    <w:tblStylePr w:type="lastCol">
      <w:rPr>
        <w:rFonts w:ascii="Calibri" w:eastAsia="Calibri" w:hAnsi="Calibri" w:cs="Calibri"/>
        <w:b/>
        <w:bCs/>
        <w:i w:val="0"/>
        <w:iCs w:val="0"/>
        <w:color w:val="000000"/>
        <w:sz w:val="24"/>
        <w:szCs w:val="24"/>
      </w:rPr>
      <w:tblPr/>
      <w:tcPr>
        <w:tcBorders>
          <w:top w:val="nil"/>
          <w:left w:val="single" w:sz="24" w:space="0" w:color="A6A6A6"/>
          <w:bottom w:val="nil"/>
          <w:right w:val="nil"/>
          <w:insideH w:val="nil"/>
          <w:insideV w:val="nil"/>
        </w:tcBorders>
        <w:shd w:val="clear" w:color="auto" w:fill="FFFFFF"/>
      </w:tcPr>
    </w:tblStylePr>
    <w:tblStylePr w:type="band1Vert">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H w:val="single" w:sz="8" w:space="0" w:color="A6A6A6"/>
          <w:insideV w:val="single" w:sz="8" w:space="0" w:color="A6A6A6"/>
        </w:tcBorders>
        <w:shd w:val="clear" w:color="auto" w:fill="FFFFFF"/>
      </w:tcPr>
    </w:tblStylePr>
  </w:style>
  <w:style w:type="table" w:styleId="redniasiatka3akcent6">
    <w:name w:val="Medium Grid 3 Accent 6"/>
    <w:basedOn w:val="Standardowy"/>
    <w:uiPriority w:val="69"/>
    <w:rsid w:val="00CB0664"/>
    <w:pPr>
      <w:spacing w:after="0" w:line="240" w:lineRule="auto"/>
    </w:pPr>
    <w:rPr>
      <w:rFonts w:ascii="Calibri" w:eastAsia="Calibri" w:hAnsi="Calibri" w:cs="Calibri"/>
      <w:lang w:val="pl-PL" w:eastAsia="pl-PL" w:bidi="pl-PL"/>
    </w:rPr>
    <w:tblPr>
      <w:tblStyleRowBandSize w:val="1"/>
      <w:tblStyleColBandSize w:val="1"/>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Pr>
    <w:tcPr>
      <w:shd w:val="clear" w:color="auto" w:fill="FFFFFF"/>
    </w:tcPr>
    <w:tblStylePr w:type="firstRow">
      <w:rPr>
        <w:rFonts w:ascii="Calibri" w:eastAsia="Calibri" w:hAnsi="Calibri" w:cs="Calibri"/>
        <w:b/>
        <w:bCs/>
        <w:i w:val="0"/>
        <w:iCs w:val="0"/>
        <w:color w:val="000000"/>
        <w:sz w:val="24"/>
        <w:szCs w:val="24"/>
      </w:rPr>
      <w:tblPr/>
      <w:tcPr>
        <w:tcBorders>
          <w:top w:val="single" w:sz="8" w:space="0" w:color="A6A6A6"/>
          <w:left w:val="single" w:sz="8" w:space="0" w:color="A6A6A6"/>
          <w:bottom w:val="single" w:sz="24" w:space="0" w:color="A6A6A6"/>
          <w:right w:val="single" w:sz="8" w:space="0" w:color="A6A6A6"/>
          <w:insideH w:val="nil"/>
          <w:insideV w:val="single" w:sz="8" w:space="0" w:color="A6A6A6"/>
        </w:tcBorders>
        <w:shd w:val="clear" w:color="auto" w:fill="FFFFFF"/>
      </w:tcPr>
    </w:tblStylePr>
    <w:tblStylePr w:type="lastRow">
      <w:rPr>
        <w:rFonts w:ascii="Calibri" w:eastAsia="Calibri" w:hAnsi="Calibri" w:cs="Calibri"/>
        <w:b/>
        <w:bCs/>
        <w:i w:val="0"/>
        <w:iCs w:val="0"/>
        <w:color w:val="000000"/>
        <w:sz w:val="24"/>
        <w:szCs w:val="24"/>
      </w:rPr>
      <w:tblPr/>
      <w:tcPr>
        <w:tcBorders>
          <w:top w:val="single" w:sz="24" w:space="0" w:color="A6A6A6"/>
          <w:left w:val="single" w:sz="8" w:space="0" w:color="A6A6A6"/>
          <w:bottom w:val="single" w:sz="8" w:space="0" w:color="A6A6A6"/>
          <w:right w:val="single" w:sz="8" w:space="0" w:color="A6A6A6"/>
          <w:insideH w:val="nil"/>
          <w:insideV w:val="single" w:sz="8" w:space="0" w:color="A6A6A6"/>
        </w:tcBorders>
        <w:shd w:val="clear" w:color="auto" w:fill="FFFFFF"/>
      </w:tcPr>
    </w:tblStylePr>
    <w:tblStylePr w:type="firstCol">
      <w:rPr>
        <w:rFonts w:ascii="Calibri" w:eastAsia="Calibri" w:hAnsi="Calibri" w:cs="Calibri"/>
        <w:b/>
        <w:bCs/>
        <w:i w:val="0"/>
        <w:iCs w:val="0"/>
        <w:color w:val="000000"/>
        <w:sz w:val="24"/>
        <w:szCs w:val="24"/>
      </w:rPr>
      <w:tblPr/>
      <w:tcPr>
        <w:tcBorders>
          <w:left w:val="single" w:sz="8" w:space="0" w:color="A6A6A6"/>
          <w:right w:val="single" w:sz="24" w:space="0" w:color="A6A6A6"/>
          <w:insideH w:val="nil"/>
          <w:insideV w:val="nil"/>
        </w:tcBorders>
        <w:shd w:val="clear" w:color="auto" w:fill="FFFFFF"/>
      </w:tcPr>
    </w:tblStylePr>
    <w:tblStylePr w:type="lastCol">
      <w:rPr>
        <w:rFonts w:ascii="Calibri" w:eastAsia="Calibri" w:hAnsi="Calibri" w:cs="Calibri"/>
        <w:b/>
        <w:bCs/>
        <w:i w:val="0"/>
        <w:iCs w:val="0"/>
        <w:color w:val="000000"/>
        <w:sz w:val="24"/>
        <w:szCs w:val="24"/>
      </w:rPr>
      <w:tblPr/>
      <w:tcPr>
        <w:tcBorders>
          <w:top w:val="nil"/>
          <w:left w:val="single" w:sz="24" w:space="0" w:color="A6A6A6"/>
          <w:bottom w:val="nil"/>
          <w:right w:val="nil"/>
          <w:insideH w:val="nil"/>
          <w:insideV w:val="nil"/>
        </w:tcBorders>
        <w:shd w:val="clear" w:color="auto" w:fill="FFFFFF"/>
      </w:tcPr>
    </w:tblStylePr>
    <w:tblStylePr w:type="band1Vert">
      <w:tblPr/>
      <w:tcPr>
        <w:tcBorders>
          <w:top w:val="single" w:sz="8" w:space="0" w:color="A6A6A6"/>
          <w:left w:val="single" w:sz="8" w:space="0" w:color="A6A6A6"/>
          <w:bottom w:val="single" w:sz="8" w:space="0" w:color="A6A6A6"/>
          <w:right w:val="single" w:sz="8" w:space="0" w:color="A6A6A6"/>
          <w:insideH w:val="nil"/>
          <w:insideV w:val="nil"/>
        </w:tcBorders>
        <w:shd w:val="clear" w:color="auto" w:fill="FFFFFF"/>
      </w:tcPr>
    </w:tblStylePr>
    <w:tblStylePr w:type="band1Horz">
      <w:tblPr/>
      <w:tcPr>
        <w:tcBorders>
          <w:top w:val="single" w:sz="8" w:space="0" w:color="A6A6A6"/>
          <w:left w:val="single" w:sz="8" w:space="0" w:color="A6A6A6"/>
          <w:bottom w:val="single" w:sz="8" w:space="0" w:color="A6A6A6"/>
          <w:right w:val="single" w:sz="8" w:space="0" w:color="A6A6A6"/>
          <w:insideH w:val="single" w:sz="8" w:space="0" w:color="A6A6A6"/>
          <w:insideV w:val="single" w:sz="8" w:space="0" w:color="A6A6A6"/>
        </w:tcBorders>
        <w:shd w:val="clear" w:color="auto" w:fill="FFFFFF"/>
      </w:tcPr>
    </w:tblStylePr>
  </w:style>
  <w:style w:type="table" w:styleId="Ciemnalista">
    <w:name w:val="Dark List"/>
    <w:basedOn w:val="Standardowy"/>
    <w:uiPriority w:val="70"/>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Row">
      <w:tblPr/>
      <w:tcPr>
        <w:tcBorders>
          <w:top w:val="single" w:sz="1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18" w:space="0" w:color="A6A6A6"/>
          <w:insideH w:val="nil"/>
          <w:insideV w:val="nil"/>
        </w:tcBorders>
        <w:shd w:val="clear" w:color="auto" w:fill="FFFFFF"/>
      </w:tcPr>
    </w:tblStylePr>
    <w:tblStylePr w:type="lastCol">
      <w:tblPr/>
      <w:tcPr>
        <w:tcBorders>
          <w:top w:val="nil"/>
          <w:left w:val="single" w:sz="18" w:space="0" w:color="A6A6A6"/>
          <w:bottom w:val="nil"/>
          <w:right w:val="nil"/>
          <w:insideH w:val="nil"/>
          <w:insideV w:val="nil"/>
        </w:tcBorders>
        <w:shd w:val="clear" w:color="auto" w:fill="FFFFFF"/>
      </w:tcPr>
    </w:tblStylePr>
    <w:tblStylePr w:type="band1Vert">
      <w:tblPr/>
      <w:tcPr>
        <w:tcBorders>
          <w:top w:val="nil"/>
          <w:left w:val="nil"/>
          <w:bottom w:val="nil"/>
          <w:right w:val="nil"/>
          <w:insideH w:val="nil"/>
          <w:insideV w:val="nil"/>
        </w:tcBorders>
        <w:shd w:val="clear" w:color="auto" w:fill="FFFFFF"/>
      </w:tcPr>
    </w:tblStylePr>
    <w:tblStylePr w:type="band1Horz">
      <w:tblPr/>
      <w:tcPr>
        <w:tcBorders>
          <w:top w:val="nil"/>
          <w:left w:val="nil"/>
          <w:bottom w:val="nil"/>
          <w:right w:val="nil"/>
          <w:insideH w:val="nil"/>
          <w:insideV w:val="nil"/>
        </w:tcBorders>
        <w:shd w:val="clear" w:color="auto" w:fill="FFFFFF"/>
      </w:tcPr>
    </w:tblStylePr>
  </w:style>
  <w:style w:type="table" w:styleId="Ciemnalista2akcent1">
    <w:name w:val="Dark List Accent 1"/>
    <w:basedOn w:val="Standardowy"/>
    <w:uiPriority w:val="70"/>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Row">
      <w:tblPr/>
      <w:tcPr>
        <w:tcBorders>
          <w:top w:val="single" w:sz="1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18" w:space="0" w:color="A6A6A6"/>
          <w:insideH w:val="nil"/>
          <w:insideV w:val="nil"/>
        </w:tcBorders>
        <w:shd w:val="clear" w:color="auto" w:fill="FFFFFF"/>
      </w:tcPr>
    </w:tblStylePr>
    <w:tblStylePr w:type="lastCol">
      <w:tblPr/>
      <w:tcPr>
        <w:tcBorders>
          <w:top w:val="nil"/>
          <w:left w:val="single" w:sz="18" w:space="0" w:color="A6A6A6"/>
          <w:bottom w:val="nil"/>
          <w:right w:val="nil"/>
          <w:insideH w:val="nil"/>
          <w:insideV w:val="nil"/>
        </w:tcBorders>
        <w:shd w:val="clear" w:color="auto" w:fill="FFFFFF"/>
      </w:tcPr>
    </w:tblStylePr>
    <w:tblStylePr w:type="band1Vert">
      <w:tblPr/>
      <w:tcPr>
        <w:tcBorders>
          <w:top w:val="nil"/>
          <w:left w:val="nil"/>
          <w:bottom w:val="nil"/>
          <w:right w:val="nil"/>
          <w:insideH w:val="nil"/>
          <w:insideV w:val="nil"/>
        </w:tcBorders>
        <w:shd w:val="clear" w:color="auto" w:fill="FFFFFF"/>
      </w:tcPr>
    </w:tblStylePr>
    <w:tblStylePr w:type="band1Horz">
      <w:tblPr/>
      <w:tcPr>
        <w:tcBorders>
          <w:top w:val="nil"/>
          <w:left w:val="nil"/>
          <w:bottom w:val="nil"/>
          <w:right w:val="nil"/>
          <w:insideH w:val="nil"/>
          <w:insideV w:val="nil"/>
        </w:tcBorders>
        <w:shd w:val="clear" w:color="auto" w:fill="FFFFFF"/>
      </w:tcPr>
    </w:tblStylePr>
  </w:style>
  <w:style w:type="table" w:styleId="Ciemnalistaakcent2">
    <w:name w:val="Dark List Accent 2"/>
    <w:basedOn w:val="Standardowy"/>
    <w:uiPriority w:val="70"/>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Row">
      <w:tblPr/>
      <w:tcPr>
        <w:tcBorders>
          <w:top w:val="single" w:sz="1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18" w:space="0" w:color="A6A6A6"/>
          <w:insideH w:val="nil"/>
          <w:insideV w:val="nil"/>
        </w:tcBorders>
        <w:shd w:val="clear" w:color="auto" w:fill="FFFFFF"/>
      </w:tcPr>
    </w:tblStylePr>
    <w:tblStylePr w:type="lastCol">
      <w:tblPr/>
      <w:tcPr>
        <w:tcBorders>
          <w:top w:val="nil"/>
          <w:left w:val="single" w:sz="18" w:space="0" w:color="A6A6A6"/>
          <w:bottom w:val="nil"/>
          <w:right w:val="nil"/>
          <w:insideH w:val="nil"/>
          <w:insideV w:val="nil"/>
        </w:tcBorders>
        <w:shd w:val="clear" w:color="auto" w:fill="FFFFFF"/>
      </w:tcPr>
    </w:tblStylePr>
    <w:tblStylePr w:type="band1Vert">
      <w:tblPr/>
      <w:tcPr>
        <w:tcBorders>
          <w:top w:val="nil"/>
          <w:left w:val="nil"/>
          <w:bottom w:val="nil"/>
          <w:right w:val="nil"/>
          <w:insideH w:val="nil"/>
          <w:insideV w:val="nil"/>
        </w:tcBorders>
        <w:shd w:val="clear" w:color="auto" w:fill="FFFFFF"/>
      </w:tcPr>
    </w:tblStylePr>
    <w:tblStylePr w:type="band1Horz">
      <w:tblPr/>
      <w:tcPr>
        <w:tcBorders>
          <w:top w:val="nil"/>
          <w:left w:val="nil"/>
          <w:bottom w:val="nil"/>
          <w:right w:val="nil"/>
          <w:insideH w:val="nil"/>
          <w:insideV w:val="nil"/>
        </w:tcBorders>
        <w:shd w:val="clear" w:color="auto" w:fill="FFFFFF"/>
      </w:tcPr>
    </w:tblStylePr>
  </w:style>
  <w:style w:type="table" w:styleId="Ciemnalistaakcent3">
    <w:name w:val="Dark List Accent 3"/>
    <w:basedOn w:val="Standardowy"/>
    <w:uiPriority w:val="70"/>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Row">
      <w:tblPr/>
      <w:tcPr>
        <w:tcBorders>
          <w:top w:val="single" w:sz="1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18" w:space="0" w:color="A6A6A6"/>
          <w:insideH w:val="nil"/>
          <w:insideV w:val="nil"/>
        </w:tcBorders>
        <w:shd w:val="clear" w:color="auto" w:fill="FFFFFF"/>
      </w:tcPr>
    </w:tblStylePr>
    <w:tblStylePr w:type="lastCol">
      <w:tblPr/>
      <w:tcPr>
        <w:tcBorders>
          <w:top w:val="nil"/>
          <w:left w:val="single" w:sz="18" w:space="0" w:color="A6A6A6"/>
          <w:bottom w:val="nil"/>
          <w:right w:val="nil"/>
          <w:insideH w:val="nil"/>
          <w:insideV w:val="nil"/>
        </w:tcBorders>
        <w:shd w:val="clear" w:color="auto" w:fill="FFFFFF"/>
      </w:tcPr>
    </w:tblStylePr>
    <w:tblStylePr w:type="band1Vert">
      <w:tblPr/>
      <w:tcPr>
        <w:tcBorders>
          <w:top w:val="nil"/>
          <w:left w:val="nil"/>
          <w:bottom w:val="nil"/>
          <w:right w:val="nil"/>
          <w:insideH w:val="nil"/>
          <w:insideV w:val="nil"/>
        </w:tcBorders>
        <w:shd w:val="clear" w:color="auto" w:fill="FFFFFF"/>
      </w:tcPr>
    </w:tblStylePr>
    <w:tblStylePr w:type="band1Horz">
      <w:tblPr/>
      <w:tcPr>
        <w:tcBorders>
          <w:top w:val="nil"/>
          <w:left w:val="nil"/>
          <w:bottom w:val="nil"/>
          <w:right w:val="nil"/>
          <w:insideH w:val="nil"/>
          <w:insideV w:val="nil"/>
        </w:tcBorders>
        <w:shd w:val="clear" w:color="auto" w:fill="FFFFFF"/>
      </w:tcPr>
    </w:tblStylePr>
  </w:style>
  <w:style w:type="table" w:styleId="Ciemnalistaakcent4">
    <w:name w:val="Dark List Accent 4"/>
    <w:basedOn w:val="Standardowy"/>
    <w:uiPriority w:val="70"/>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Row">
      <w:tblPr/>
      <w:tcPr>
        <w:tcBorders>
          <w:top w:val="single" w:sz="1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18" w:space="0" w:color="A6A6A6"/>
          <w:insideH w:val="nil"/>
          <w:insideV w:val="nil"/>
        </w:tcBorders>
        <w:shd w:val="clear" w:color="auto" w:fill="FFFFFF"/>
      </w:tcPr>
    </w:tblStylePr>
    <w:tblStylePr w:type="lastCol">
      <w:tblPr/>
      <w:tcPr>
        <w:tcBorders>
          <w:top w:val="nil"/>
          <w:left w:val="single" w:sz="18" w:space="0" w:color="A6A6A6"/>
          <w:bottom w:val="nil"/>
          <w:right w:val="nil"/>
          <w:insideH w:val="nil"/>
          <w:insideV w:val="nil"/>
        </w:tcBorders>
        <w:shd w:val="clear" w:color="auto" w:fill="FFFFFF"/>
      </w:tcPr>
    </w:tblStylePr>
    <w:tblStylePr w:type="band1Vert">
      <w:tblPr/>
      <w:tcPr>
        <w:tcBorders>
          <w:top w:val="nil"/>
          <w:left w:val="nil"/>
          <w:bottom w:val="nil"/>
          <w:right w:val="nil"/>
          <w:insideH w:val="nil"/>
          <w:insideV w:val="nil"/>
        </w:tcBorders>
        <w:shd w:val="clear" w:color="auto" w:fill="FFFFFF"/>
      </w:tcPr>
    </w:tblStylePr>
    <w:tblStylePr w:type="band1Horz">
      <w:tblPr/>
      <w:tcPr>
        <w:tcBorders>
          <w:top w:val="nil"/>
          <w:left w:val="nil"/>
          <w:bottom w:val="nil"/>
          <w:right w:val="nil"/>
          <w:insideH w:val="nil"/>
          <w:insideV w:val="nil"/>
        </w:tcBorders>
        <w:shd w:val="clear" w:color="auto" w:fill="FFFFFF"/>
      </w:tcPr>
    </w:tblStylePr>
  </w:style>
  <w:style w:type="table" w:styleId="Ciemnalistaakcent5">
    <w:name w:val="Dark List Accent 5"/>
    <w:basedOn w:val="Standardowy"/>
    <w:uiPriority w:val="70"/>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Row">
      <w:tblPr/>
      <w:tcPr>
        <w:tcBorders>
          <w:top w:val="single" w:sz="1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18" w:space="0" w:color="A6A6A6"/>
          <w:insideH w:val="nil"/>
          <w:insideV w:val="nil"/>
        </w:tcBorders>
        <w:shd w:val="clear" w:color="auto" w:fill="FFFFFF"/>
      </w:tcPr>
    </w:tblStylePr>
    <w:tblStylePr w:type="lastCol">
      <w:tblPr/>
      <w:tcPr>
        <w:tcBorders>
          <w:top w:val="nil"/>
          <w:left w:val="single" w:sz="18" w:space="0" w:color="A6A6A6"/>
          <w:bottom w:val="nil"/>
          <w:right w:val="nil"/>
          <w:insideH w:val="nil"/>
          <w:insideV w:val="nil"/>
        </w:tcBorders>
        <w:shd w:val="clear" w:color="auto" w:fill="FFFFFF"/>
      </w:tcPr>
    </w:tblStylePr>
    <w:tblStylePr w:type="band1Vert">
      <w:tblPr/>
      <w:tcPr>
        <w:tcBorders>
          <w:top w:val="nil"/>
          <w:left w:val="nil"/>
          <w:bottom w:val="nil"/>
          <w:right w:val="nil"/>
          <w:insideH w:val="nil"/>
          <w:insideV w:val="nil"/>
        </w:tcBorders>
        <w:shd w:val="clear" w:color="auto" w:fill="FFFFFF"/>
      </w:tcPr>
    </w:tblStylePr>
    <w:tblStylePr w:type="band1Horz">
      <w:tblPr/>
      <w:tcPr>
        <w:tcBorders>
          <w:top w:val="nil"/>
          <w:left w:val="nil"/>
          <w:bottom w:val="nil"/>
          <w:right w:val="nil"/>
          <w:insideH w:val="nil"/>
          <w:insideV w:val="nil"/>
        </w:tcBorders>
        <w:shd w:val="clear" w:color="auto" w:fill="FFFFFF"/>
      </w:tcPr>
    </w:tblStylePr>
  </w:style>
  <w:style w:type="table" w:styleId="Ciemnalistaakcent6">
    <w:name w:val="Dark List Accent 6"/>
    <w:basedOn w:val="Standardowy"/>
    <w:uiPriority w:val="70"/>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18" w:space="0" w:color="A6A6A6"/>
          <w:right w:val="nil"/>
          <w:insideH w:val="nil"/>
          <w:insideV w:val="nil"/>
        </w:tcBorders>
        <w:shd w:val="clear" w:color="auto" w:fill="FFFFFF"/>
      </w:tcPr>
    </w:tblStylePr>
    <w:tblStylePr w:type="lastRow">
      <w:tblPr/>
      <w:tcPr>
        <w:tcBorders>
          <w:top w:val="single" w:sz="18" w:space="0" w:color="A6A6A6"/>
          <w:left w:val="nil"/>
          <w:bottom w:val="nil"/>
          <w:right w:val="nil"/>
          <w:insideH w:val="nil"/>
          <w:insideV w:val="nil"/>
        </w:tcBorders>
        <w:shd w:val="clear" w:color="auto" w:fill="FFFFFF"/>
      </w:tcPr>
    </w:tblStylePr>
    <w:tblStylePr w:type="firstCol">
      <w:tblPr/>
      <w:tcPr>
        <w:tcBorders>
          <w:top w:val="nil"/>
          <w:left w:val="nil"/>
          <w:bottom w:val="nil"/>
          <w:right w:val="single" w:sz="18" w:space="0" w:color="A6A6A6"/>
          <w:insideH w:val="nil"/>
          <w:insideV w:val="nil"/>
        </w:tcBorders>
        <w:shd w:val="clear" w:color="auto" w:fill="FFFFFF"/>
      </w:tcPr>
    </w:tblStylePr>
    <w:tblStylePr w:type="lastCol">
      <w:tblPr/>
      <w:tcPr>
        <w:tcBorders>
          <w:top w:val="nil"/>
          <w:left w:val="single" w:sz="18" w:space="0" w:color="A6A6A6"/>
          <w:bottom w:val="nil"/>
          <w:right w:val="nil"/>
          <w:insideH w:val="nil"/>
          <w:insideV w:val="nil"/>
        </w:tcBorders>
        <w:shd w:val="clear" w:color="auto" w:fill="FFFFFF"/>
      </w:tcPr>
    </w:tblStylePr>
    <w:tblStylePr w:type="band1Vert">
      <w:tblPr/>
      <w:tcPr>
        <w:tcBorders>
          <w:top w:val="nil"/>
          <w:left w:val="nil"/>
          <w:bottom w:val="nil"/>
          <w:right w:val="nil"/>
          <w:insideH w:val="nil"/>
          <w:insideV w:val="nil"/>
        </w:tcBorders>
        <w:shd w:val="clear" w:color="auto" w:fill="FFFFFF"/>
      </w:tcPr>
    </w:tblStylePr>
    <w:tblStylePr w:type="band1Horz">
      <w:tblPr/>
      <w:tcPr>
        <w:tcBorders>
          <w:top w:val="nil"/>
          <w:left w:val="nil"/>
          <w:bottom w:val="nil"/>
          <w:right w:val="nil"/>
          <w:insideH w:val="nil"/>
          <w:insideV w:val="nil"/>
        </w:tcBorders>
        <w:shd w:val="clear" w:color="auto" w:fill="FFFFFF"/>
      </w:tcPr>
    </w:tblStylePr>
  </w:style>
  <w:style w:type="table" w:styleId="Kolorowecieniowanie">
    <w:name w:val="Colorful Shading"/>
    <w:basedOn w:val="Standardowy"/>
    <w:uiPriority w:val="71"/>
    <w:rsid w:val="00CB0664"/>
    <w:pPr>
      <w:spacing w:after="0" w:line="240" w:lineRule="auto"/>
    </w:pPr>
    <w:rPr>
      <w:rFonts w:ascii="Calibri" w:eastAsia="Calibri" w:hAnsi="Calibri" w:cs="Calibri"/>
      <w:lang w:val="pl-PL" w:eastAsia="pl-PL" w:bidi="pl-PL"/>
    </w:rPr>
    <w:tblPr>
      <w:tblStyleRowBandSize w:val="1"/>
      <w:tblStyleColBandSize w:val="1"/>
      <w:tblBorders>
        <w:top w:val="single" w:sz="2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rPr>
        <w:rFonts w:ascii="Calibri" w:eastAsia="Calibri" w:hAnsi="Calibri" w:cs="Calibri"/>
        <w:b/>
        <w:bCs/>
        <w:color w:val="000000"/>
        <w:sz w:val="24"/>
        <w:szCs w:val="24"/>
      </w:rPr>
      <w:tblPr/>
      <w:tcPr>
        <w:tcBorders>
          <w:top w:val="single" w:sz="6" w:space="0" w:color="A6A6A6"/>
        </w:tcBorders>
        <w:shd w:val="clear" w:color="auto" w:fill="FFFFFF"/>
      </w:tcPr>
    </w:tblStylePr>
    <w:tblStylePr w:type="firstCol">
      <w:rPr>
        <w:rFonts w:ascii="Calibri" w:eastAsia="Calibri" w:hAnsi="Calibri" w:cs="Calibri"/>
        <w:color w:val="000000"/>
        <w:sz w:val="24"/>
        <w:szCs w:val="24"/>
      </w:rPr>
      <w:tblPr/>
      <w:tcPr>
        <w:tcBorders>
          <w:top w:val="nil"/>
          <w:left w:val="nil"/>
          <w:bottom w:val="nil"/>
          <w:right w:val="nil"/>
          <w:insideH w:val="single" w:sz="4" w:space="0" w:color="A6A6A6"/>
          <w:insideV w:val="nil"/>
        </w:tcBorders>
        <w:shd w:val="clear" w:color="auto" w:fill="FFFFFF"/>
      </w:tcPr>
    </w:tblStylePr>
    <w:tblStylePr w:type="lastCol">
      <w:rPr>
        <w:rFonts w:ascii="Calibri" w:eastAsia="Calibri" w:hAnsi="Calibri" w:cs="Calibri"/>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shd w:val="clear" w:color="auto" w:fill="FFFFFF"/>
      </w:tcPr>
    </w:tblStylePr>
    <w:tblStylePr w:type="neCell">
      <w:rPr>
        <w:rFonts w:ascii="Calibri" w:eastAsia="Calibri" w:hAnsi="Calibri" w:cs="Calibri"/>
        <w:color w:val="000000"/>
        <w:sz w:val="24"/>
        <w:szCs w:val="24"/>
      </w:rPr>
    </w:tblStylePr>
    <w:tblStylePr w:type="nwCell">
      <w:rPr>
        <w:rFonts w:ascii="Calibri" w:eastAsia="Calibri" w:hAnsi="Calibri" w:cs="Calibri"/>
        <w:color w:val="000000"/>
        <w:sz w:val="24"/>
        <w:szCs w:val="24"/>
      </w:rPr>
    </w:tblStylePr>
  </w:style>
  <w:style w:type="table" w:styleId="Kolorowecieniowanieakcent1">
    <w:name w:val="Colorful Shading Accent 1"/>
    <w:basedOn w:val="Standardowy"/>
    <w:uiPriority w:val="71"/>
    <w:rsid w:val="00CB0664"/>
    <w:pPr>
      <w:spacing w:after="0" w:line="240" w:lineRule="auto"/>
    </w:pPr>
    <w:rPr>
      <w:rFonts w:ascii="Calibri" w:eastAsia="Calibri" w:hAnsi="Calibri" w:cs="Calibri"/>
      <w:lang w:val="pl-PL" w:eastAsia="pl-PL" w:bidi="pl-PL"/>
    </w:rPr>
    <w:tblPr>
      <w:tblStyleRowBandSize w:val="1"/>
      <w:tblStyleColBandSize w:val="1"/>
      <w:tblBorders>
        <w:top w:val="single" w:sz="2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rPr>
        <w:rFonts w:ascii="Calibri" w:eastAsia="Calibri" w:hAnsi="Calibri" w:cs="Calibri"/>
        <w:b/>
        <w:bCs/>
        <w:color w:val="000000"/>
        <w:sz w:val="24"/>
        <w:szCs w:val="24"/>
      </w:rPr>
      <w:tblPr/>
      <w:tcPr>
        <w:tcBorders>
          <w:top w:val="single" w:sz="6" w:space="0" w:color="A6A6A6"/>
        </w:tcBorders>
        <w:shd w:val="clear" w:color="auto" w:fill="FFFFFF"/>
      </w:tcPr>
    </w:tblStylePr>
    <w:tblStylePr w:type="firstCol">
      <w:rPr>
        <w:rFonts w:ascii="Calibri" w:eastAsia="Calibri" w:hAnsi="Calibri" w:cs="Calibri"/>
        <w:color w:val="000000"/>
        <w:sz w:val="24"/>
        <w:szCs w:val="24"/>
      </w:rPr>
      <w:tblPr/>
      <w:tcPr>
        <w:tcBorders>
          <w:top w:val="nil"/>
          <w:left w:val="nil"/>
          <w:bottom w:val="nil"/>
          <w:right w:val="nil"/>
          <w:insideH w:val="single" w:sz="4" w:space="0" w:color="A6A6A6"/>
          <w:insideV w:val="nil"/>
        </w:tcBorders>
        <w:shd w:val="clear" w:color="auto" w:fill="FFFFFF"/>
      </w:tcPr>
    </w:tblStylePr>
    <w:tblStylePr w:type="lastCol">
      <w:rPr>
        <w:rFonts w:ascii="Calibri" w:eastAsia="Calibri" w:hAnsi="Calibri" w:cs="Calibri"/>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shd w:val="clear" w:color="auto" w:fill="FFFFFF"/>
      </w:tcPr>
    </w:tblStylePr>
    <w:tblStylePr w:type="neCell">
      <w:rPr>
        <w:rFonts w:ascii="Calibri" w:eastAsia="Calibri" w:hAnsi="Calibri" w:cs="Calibri"/>
        <w:color w:val="000000"/>
        <w:sz w:val="24"/>
        <w:szCs w:val="24"/>
      </w:rPr>
    </w:tblStylePr>
    <w:tblStylePr w:type="nwCell">
      <w:rPr>
        <w:rFonts w:ascii="Calibri" w:eastAsia="Calibri" w:hAnsi="Calibri" w:cs="Calibri"/>
        <w:color w:val="000000"/>
        <w:sz w:val="24"/>
        <w:szCs w:val="24"/>
      </w:rPr>
    </w:tblStylePr>
  </w:style>
  <w:style w:type="table" w:styleId="Kolorowecieniowanieakcent2">
    <w:name w:val="Colorful Shading Accent 2"/>
    <w:basedOn w:val="Standardowy"/>
    <w:uiPriority w:val="71"/>
    <w:rsid w:val="00CB0664"/>
    <w:pPr>
      <w:spacing w:after="0" w:line="240" w:lineRule="auto"/>
    </w:pPr>
    <w:rPr>
      <w:rFonts w:ascii="Calibri" w:eastAsia="Calibri" w:hAnsi="Calibri" w:cs="Calibri"/>
      <w:lang w:val="pl-PL" w:eastAsia="pl-PL" w:bidi="pl-PL"/>
    </w:rPr>
    <w:tblPr>
      <w:tblStyleRowBandSize w:val="1"/>
      <w:tblStyleColBandSize w:val="1"/>
      <w:tblBorders>
        <w:top w:val="single" w:sz="2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rPr>
        <w:rFonts w:ascii="Calibri" w:eastAsia="Calibri" w:hAnsi="Calibri" w:cs="Calibri"/>
        <w:b/>
        <w:bCs/>
        <w:color w:val="000000"/>
        <w:sz w:val="24"/>
        <w:szCs w:val="24"/>
      </w:rPr>
      <w:tblPr/>
      <w:tcPr>
        <w:tcBorders>
          <w:top w:val="single" w:sz="6" w:space="0" w:color="A6A6A6"/>
        </w:tcBorders>
        <w:shd w:val="clear" w:color="auto" w:fill="FFFFFF"/>
      </w:tcPr>
    </w:tblStylePr>
    <w:tblStylePr w:type="firstCol">
      <w:rPr>
        <w:rFonts w:ascii="Calibri" w:eastAsia="Calibri" w:hAnsi="Calibri" w:cs="Calibri"/>
        <w:color w:val="000000"/>
        <w:sz w:val="24"/>
        <w:szCs w:val="24"/>
      </w:rPr>
      <w:tblPr/>
      <w:tcPr>
        <w:tcBorders>
          <w:top w:val="nil"/>
          <w:left w:val="nil"/>
          <w:bottom w:val="nil"/>
          <w:right w:val="nil"/>
          <w:insideH w:val="single" w:sz="4" w:space="0" w:color="A6A6A6"/>
          <w:insideV w:val="nil"/>
        </w:tcBorders>
        <w:shd w:val="clear" w:color="auto" w:fill="FFFFFF"/>
      </w:tcPr>
    </w:tblStylePr>
    <w:tblStylePr w:type="lastCol">
      <w:rPr>
        <w:rFonts w:ascii="Calibri" w:eastAsia="Calibri" w:hAnsi="Calibri" w:cs="Calibri"/>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shd w:val="clear" w:color="auto" w:fill="FFFFFF"/>
      </w:tcPr>
    </w:tblStylePr>
    <w:tblStylePr w:type="neCell">
      <w:rPr>
        <w:rFonts w:ascii="Calibri" w:eastAsia="Calibri" w:hAnsi="Calibri" w:cs="Calibri"/>
        <w:color w:val="000000"/>
        <w:sz w:val="24"/>
        <w:szCs w:val="24"/>
      </w:rPr>
    </w:tblStylePr>
    <w:tblStylePr w:type="nwCell">
      <w:rPr>
        <w:rFonts w:ascii="Calibri" w:eastAsia="Calibri" w:hAnsi="Calibri" w:cs="Calibri"/>
        <w:color w:val="000000"/>
        <w:sz w:val="24"/>
        <w:szCs w:val="24"/>
      </w:rPr>
    </w:tblStylePr>
  </w:style>
  <w:style w:type="table" w:styleId="Kolorowecieniowanieakcent3">
    <w:name w:val="Colorful Shading Accent 3"/>
    <w:basedOn w:val="Standardowy"/>
    <w:uiPriority w:val="71"/>
    <w:rsid w:val="00CB0664"/>
    <w:pPr>
      <w:spacing w:after="0" w:line="240" w:lineRule="auto"/>
    </w:pPr>
    <w:rPr>
      <w:rFonts w:ascii="Calibri" w:eastAsia="Calibri" w:hAnsi="Calibri" w:cs="Calibri"/>
      <w:lang w:val="pl-PL" w:eastAsia="pl-PL" w:bidi="pl-PL"/>
    </w:rPr>
    <w:tblPr>
      <w:tblStyleRowBandSize w:val="1"/>
      <w:tblStyleColBandSize w:val="1"/>
      <w:tblBorders>
        <w:top w:val="single" w:sz="2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rPr>
        <w:rFonts w:ascii="Calibri" w:eastAsia="Calibri" w:hAnsi="Calibri" w:cs="Calibri"/>
        <w:b/>
        <w:bCs/>
        <w:color w:val="000000"/>
        <w:sz w:val="24"/>
        <w:szCs w:val="24"/>
      </w:rPr>
      <w:tblPr/>
      <w:tcPr>
        <w:tcBorders>
          <w:top w:val="single" w:sz="6" w:space="0" w:color="A6A6A6"/>
        </w:tcBorders>
        <w:shd w:val="clear" w:color="auto" w:fill="FFFFFF"/>
      </w:tcPr>
    </w:tblStylePr>
    <w:tblStylePr w:type="firstCol">
      <w:rPr>
        <w:rFonts w:ascii="Calibri" w:eastAsia="Calibri" w:hAnsi="Calibri" w:cs="Calibri"/>
        <w:color w:val="000000"/>
        <w:sz w:val="24"/>
        <w:szCs w:val="24"/>
      </w:rPr>
      <w:tblPr/>
      <w:tcPr>
        <w:tcBorders>
          <w:top w:val="nil"/>
          <w:left w:val="nil"/>
          <w:bottom w:val="nil"/>
          <w:right w:val="nil"/>
          <w:insideH w:val="single" w:sz="4" w:space="0" w:color="A6A6A6"/>
          <w:insideV w:val="nil"/>
        </w:tcBorders>
        <w:shd w:val="clear" w:color="auto" w:fill="FFFFFF"/>
      </w:tcPr>
    </w:tblStylePr>
    <w:tblStylePr w:type="lastCol">
      <w:rPr>
        <w:rFonts w:ascii="Calibri" w:eastAsia="Calibri" w:hAnsi="Calibri" w:cs="Calibri"/>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Kolorowecieniowanieakcent4">
    <w:name w:val="Colorful Shading Accent 4"/>
    <w:basedOn w:val="Standardowy"/>
    <w:uiPriority w:val="71"/>
    <w:rsid w:val="00CB0664"/>
    <w:pPr>
      <w:spacing w:after="0" w:line="240" w:lineRule="auto"/>
    </w:pPr>
    <w:rPr>
      <w:rFonts w:ascii="Calibri" w:eastAsia="Calibri" w:hAnsi="Calibri" w:cs="Calibri"/>
      <w:lang w:val="pl-PL" w:eastAsia="pl-PL" w:bidi="pl-PL"/>
    </w:rPr>
    <w:tblPr>
      <w:tblStyleRowBandSize w:val="1"/>
      <w:tblStyleColBandSize w:val="1"/>
      <w:tblBorders>
        <w:top w:val="single" w:sz="2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rPr>
        <w:rFonts w:ascii="Calibri" w:eastAsia="Calibri" w:hAnsi="Calibri" w:cs="Calibri"/>
        <w:b/>
        <w:bCs/>
        <w:color w:val="000000"/>
        <w:sz w:val="24"/>
        <w:szCs w:val="24"/>
      </w:rPr>
      <w:tblPr/>
      <w:tcPr>
        <w:tcBorders>
          <w:top w:val="single" w:sz="6" w:space="0" w:color="A6A6A6"/>
        </w:tcBorders>
        <w:shd w:val="clear" w:color="auto" w:fill="FFFFFF"/>
      </w:tcPr>
    </w:tblStylePr>
    <w:tblStylePr w:type="firstCol">
      <w:rPr>
        <w:rFonts w:ascii="Calibri" w:eastAsia="Calibri" w:hAnsi="Calibri" w:cs="Calibri"/>
        <w:color w:val="000000"/>
        <w:sz w:val="24"/>
        <w:szCs w:val="24"/>
      </w:rPr>
      <w:tblPr/>
      <w:tcPr>
        <w:tcBorders>
          <w:top w:val="nil"/>
          <w:left w:val="nil"/>
          <w:bottom w:val="nil"/>
          <w:right w:val="nil"/>
          <w:insideH w:val="single" w:sz="4" w:space="0" w:color="A6A6A6"/>
          <w:insideV w:val="nil"/>
        </w:tcBorders>
        <w:shd w:val="clear" w:color="auto" w:fill="FFFFFF"/>
      </w:tcPr>
    </w:tblStylePr>
    <w:tblStylePr w:type="lastCol">
      <w:rPr>
        <w:rFonts w:ascii="Calibri" w:eastAsia="Calibri" w:hAnsi="Calibri" w:cs="Calibri"/>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shd w:val="clear" w:color="auto" w:fill="FFFFFF"/>
      </w:tcPr>
    </w:tblStylePr>
    <w:tblStylePr w:type="neCell">
      <w:rPr>
        <w:rFonts w:ascii="Calibri" w:eastAsia="Calibri" w:hAnsi="Calibri" w:cs="Calibri"/>
        <w:color w:val="000000"/>
        <w:sz w:val="24"/>
        <w:szCs w:val="24"/>
      </w:rPr>
    </w:tblStylePr>
    <w:tblStylePr w:type="nwCell">
      <w:rPr>
        <w:rFonts w:ascii="Calibri" w:eastAsia="Calibri" w:hAnsi="Calibri" w:cs="Calibri"/>
        <w:color w:val="000000"/>
        <w:sz w:val="24"/>
        <w:szCs w:val="24"/>
      </w:rPr>
    </w:tblStylePr>
  </w:style>
  <w:style w:type="table" w:styleId="Kolorowecieniowanieakcent5">
    <w:name w:val="Colorful Shading Accent 5"/>
    <w:basedOn w:val="Standardowy"/>
    <w:uiPriority w:val="71"/>
    <w:rsid w:val="00CB0664"/>
    <w:pPr>
      <w:spacing w:after="0" w:line="240" w:lineRule="auto"/>
    </w:pPr>
    <w:rPr>
      <w:rFonts w:ascii="Calibri" w:eastAsia="Calibri" w:hAnsi="Calibri" w:cs="Calibri"/>
      <w:lang w:val="pl-PL" w:eastAsia="pl-PL" w:bidi="pl-PL"/>
    </w:rPr>
    <w:tblPr>
      <w:tblStyleRowBandSize w:val="1"/>
      <w:tblStyleColBandSize w:val="1"/>
      <w:tblBorders>
        <w:top w:val="single" w:sz="2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rPr>
        <w:rFonts w:ascii="Calibri" w:eastAsia="Calibri" w:hAnsi="Calibri" w:cs="Calibri"/>
        <w:b/>
        <w:bCs/>
        <w:color w:val="000000"/>
        <w:sz w:val="24"/>
        <w:szCs w:val="24"/>
      </w:rPr>
      <w:tblPr/>
      <w:tcPr>
        <w:tcBorders>
          <w:top w:val="single" w:sz="6" w:space="0" w:color="A6A6A6"/>
        </w:tcBorders>
        <w:shd w:val="clear" w:color="auto" w:fill="FFFFFF"/>
      </w:tcPr>
    </w:tblStylePr>
    <w:tblStylePr w:type="firstCol">
      <w:rPr>
        <w:rFonts w:ascii="Calibri" w:eastAsia="Calibri" w:hAnsi="Calibri" w:cs="Calibri"/>
        <w:color w:val="000000"/>
        <w:sz w:val="24"/>
        <w:szCs w:val="24"/>
      </w:rPr>
      <w:tblPr/>
      <w:tcPr>
        <w:tcBorders>
          <w:top w:val="nil"/>
          <w:left w:val="nil"/>
          <w:bottom w:val="nil"/>
          <w:right w:val="nil"/>
          <w:insideH w:val="single" w:sz="4" w:space="0" w:color="A6A6A6"/>
          <w:insideV w:val="nil"/>
        </w:tcBorders>
        <w:shd w:val="clear" w:color="auto" w:fill="FFFFFF"/>
      </w:tcPr>
    </w:tblStylePr>
    <w:tblStylePr w:type="lastCol">
      <w:rPr>
        <w:rFonts w:ascii="Calibri" w:eastAsia="Calibri" w:hAnsi="Calibri" w:cs="Calibri"/>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shd w:val="clear" w:color="auto" w:fill="FFFFFF"/>
      </w:tcPr>
    </w:tblStylePr>
    <w:tblStylePr w:type="neCell">
      <w:rPr>
        <w:rFonts w:ascii="Calibri" w:eastAsia="Calibri" w:hAnsi="Calibri" w:cs="Calibri"/>
        <w:color w:val="000000"/>
        <w:sz w:val="24"/>
        <w:szCs w:val="24"/>
      </w:rPr>
    </w:tblStylePr>
    <w:tblStylePr w:type="nwCell">
      <w:rPr>
        <w:rFonts w:ascii="Calibri" w:eastAsia="Calibri" w:hAnsi="Calibri" w:cs="Calibri"/>
        <w:color w:val="000000"/>
        <w:sz w:val="24"/>
        <w:szCs w:val="24"/>
      </w:rPr>
    </w:tblStylePr>
  </w:style>
  <w:style w:type="table" w:styleId="Kolorowecieniowanieakcent6">
    <w:name w:val="Colorful Shading Accent 6"/>
    <w:basedOn w:val="Standardowy"/>
    <w:uiPriority w:val="71"/>
    <w:rsid w:val="00CB0664"/>
    <w:pPr>
      <w:spacing w:after="0" w:line="240" w:lineRule="auto"/>
    </w:pPr>
    <w:rPr>
      <w:rFonts w:ascii="Calibri" w:eastAsia="Calibri" w:hAnsi="Calibri" w:cs="Calibri"/>
      <w:lang w:val="pl-PL" w:eastAsia="pl-PL" w:bidi="pl-PL"/>
    </w:rPr>
    <w:tblPr>
      <w:tblStyleRowBandSize w:val="1"/>
      <w:tblStyleColBandSize w:val="1"/>
      <w:tblBorders>
        <w:top w:val="single" w:sz="2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FFFFFF"/>
    </w:tcPr>
    <w:tblStylePr w:type="firstRow">
      <w:rPr>
        <w:rFonts w:ascii="Calibri" w:eastAsia="Calibri" w:hAnsi="Calibri" w:cs="Calibri"/>
        <w:b/>
        <w:bCs/>
        <w:color w:val="000000"/>
        <w:sz w:val="24"/>
        <w:szCs w:val="24"/>
      </w:rPr>
      <w:tblPr/>
      <w:tcPr>
        <w:tcBorders>
          <w:top w:val="nil"/>
          <w:left w:val="nil"/>
          <w:bottom w:val="single" w:sz="24" w:space="0" w:color="A6A6A6"/>
          <w:right w:val="nil"/>
          <w:insideH w:val="nil"/>
          <w:insideV w:val="nil"/>
        </w:tcBorders>
        <w:shd w:val="clear" w:color="auto" w:fill="FFFFFF"/>
      </w:tcPr>
    </w:tblStylePr>
    <w:tblStylePr w:type="lastRow">
      <w:rPr>
        <w:rFonts w:ascii="Calibri" w:eastAsia="Calibri" w:hAnsi="Calibri" w:cs="Calibri"/>
        <w:b/>
        <w:bCs/>
        <w:color w:val="000000"/>
        <w:sz w:val="24"/>
        <w:szCs w:val="24"/>
      </w:rPr>
      <w:tblPr/>
      <w:tcPr>
        <w:tcBorders>
          <w:top w:val="single" w:sz="6" w:space="0" w:color="A6A6A6"/>
        </w:tcBorders>
        <w:shd w:val="clear" w:color="auto" w:fill="FFFFFF"/>
      </w:tcPr>
    </w:tblStylePr>
    <w:tblStylePr w:type="firstCol">
      <w:rPr>
        <w:rFonts w:ascii="Calibri" w:eastAsia="Calibri" w:hAnsi="Calibri" w:cs="Calibri"/>
        <w:color w:val="000000"/>
        <w:sz w:val="24"/>
        <w:szCs w:val="24"/>
      </w:rPr>
      <w:tblPr/>
      <w:tcPr>
        <w:tcBorders>
          <w:top w:val="nil"/>
          <w:left w:val="nil"/>
          <w:bottom w:val="nil"/>
          <w:right w:val="nil"/>
          <w:insideH w:val="single" w:sz="4" w:space="0" w:color="A6A6A6"/>
          <w:insideV w:val="nil"/>
        </w:tcBorders>
        <w:shd w:val="clear" w:color="auto" w:fill="FFFFFF"/>
      </w:tcPr>
    </w:tblStylePr>
    <w:tblStylePr w:type="lastCol">
      <w:rPr>
        <w:rFonts w:ascii="Calibri" w:eastAsia="Calibri" w:hAnsi="Calibri" w:cs="Calibri"/>
        <w:color w:val="000000"/>
        <w:sz w:val="24"/>
        <w:szCs w:val="24"/>
      </w:rPr>
      <w:tblPr/>
      <w:tcPr>
        <w:tcBorders>
          <w:top w:val="nil"/>
          <w:left w:val="nil"/>
          <w:bottom w:val="nil"/>
          <w:right w:val="nil"/>
          <w:insideH w:val="nil"/>
          <w:insideV w:val="nil"/>
        </w:tcBorders>
        <w:shd w:val="clear" w:color="auto" w:fill="FFFFFF"/>
      </w:tcPr>
    </w:tblStylePr>
    <w:tblStylePr w:type="band1Vert">
      <w:tblPr/>
      <w:tcPr>
        <w:shd w:val="clear" w:color="auto" w:fill="FFFFFF"/>
      </w:tcPr>
    </w:tblStylePr>
    <w:tblStylePr w:type="band1Horz">
      <w:tblPr/>
      <w:tcPr>
        <w:shd w:val="clear" w:color="auto" w:fill="FFFFFF"/>
      </w:tcPr>
    </w:tblStylePr>
    <w:tblStylePr w:type="neCell">
      <w:rPr>
        <w:rFonts w:ascii="Calibri" w:eastAsia="Calibri" w:hAnsi="Calibri" w:cs="Calibri"/>
        <w:color w:val="000000"/>
        <w:sz w:val="24"/>
        <w:szCs w:val="24"/>
      </w:rPr>
    </w:tblStylePr>
    <w:tblStylePr w:type="nwCell">
      <w:rPr>
        <w:rFonts w:ascii="Calibri" w:eastAsia="Calibri" w:hAnsi="Calibri" w:cs="Calibri"/>
        <w:color w:val="000000"/>
        <w:sz w:val="24"/>
        <w:szCs w:val="24"/>
      </w:rPr>
    </w:tblStylePr>
  </w:style>
  <w:style w:type="table" w:styleId="Kolorowalista">
    <w:name w:val="Colorful List"/>
    <w:basedOn w:val="Standardowy"/>
    <w:uiPriority w:val="72"/>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bottom w:val="single" w:sz="12" w:space="0" w:color="A6A6A6"/>
        </w:tcBorders>
        <w:shd w:val="clear" w:color="auto" w:fill="FFFFFF"/>
      </w:tcPr>
    </w:tblStylePr>
    <w:tblStylePr w:type="lastRow">
      <w:rPr>
        <w:rFonts w:ascii="Calibri" w:eastAsia="Calibri" w:hAnsi="Calibri" w:cs="Calibri"/>
        <w:b/>
        <w:bCs/>
        <w:color w:val="000000"/>
        <w:sz w:val="24"/>
        <w:szCs w:val="24"/>
      </w:rPr>
      <w:tblPr/>
      <w:tcPr>
        <w:tcBorders>
          <w:top w:val="single" w:sz="12" w:space="0" w:color="A6A6A6"/>
        </w:tcBorders>
        <w:shd w:val="clear" w:color="auto" w:fill="FFFFFF"/>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nil"/>
          <w:left w:val="nil"/>
          <w:bottom w:val="nil"/>
          <w:right w:val="nil"/>
          <w:insideH w:val="nil"/>
          <w:insideV w:val="nil"/>
        </w:tcBorders>
        <w:shd w:val="clear" w:color="auto" w:fill="FFFFFF"/>
      </w:tcPr>
    </w:tblStylePr>
    <w:tblStylePr w:type="band1Horz">
      <w:tblPr/>
      <w:tcPr>
        <w:shd w:val="clear" w:color="auto" w:fill="FFFFFF"/>
      </w:tcPr>
    </w:tblStylePr>
  </w:style>
  <w:style w:type="table" w:styleId="Kolorowalistaakcent1">
    <w:name w:val="Colorful List Accent 1"/>
    <w:basedOn w:val="Standardowy"/>
    <w:uiPriority w:val="72"/>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bottom w:val="single" w:sz="12" w:space="0" w:color="A6A6A6"/>
        </w:tcBorders>
        <w:shd w:val="clear" w:color="auto" w:fill="FFFFFF"/>
      </w:tcPr>
    </w:tblStylePr>
    <w:tblStylePr w:type="lastRow">
      <w:rPr>
        <w:rFonts w:ascii="Calibri" w:eastAsia="Calibri" w:hAnsi="Calibri" w:cs="Calibri"/>
        <w:b/>
        <w:bCs/>
        <w:color w:val="000000"/>
        <w:sz w:val="24"/>
        <w:szCs w:val="24"/>
      </w:rPr>
      <w:tblPr/>
      <w:tcPr>
        <w:tcBorders>
          <w:top w:val="single" w:sz="12" w:space="0" w:color="A6A6A6"/>
        </w:tcBorders>
        <w:shd w:val="clear" w:color="auto" w:fill="FFFFFF"/>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nil"/>
          <w:left w:val="nil"/>
          <w:bottom w:val="nil"/>
          <w:right w:val="nil"/>
          <w:insideH w:val="nil"/>
          <w:insideV w:val="nil"/>
        </w:tcBorders>
        <w:shd w:val="clear" w:color="auto" w:fill="FFFFFF"/>
      </w:tcPr>
    </w:tblStylePr>
    <w:tblStylePr w:type="band1Horz">
      <w:tblPr/>
      <w:tcPr>
        <w:shd w:val="clear" w:color="auto" w:fill="FFFFFF"/>
      </w:tcPr>
    </w:tblStylePr>
  </w:style>
  <w:style w:type="table" w:styleId="Kolorowalistaakcent2">
    <w:name w:val="Colorful List Accent 2"/>
    <w:basedOn w:val="Standardowy"/>
    <w:uiPriority w:val="72"/>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bottom w:val="single" w:sz="12" w:space="0" w:color="A6A6A6"/>
        </w:tcBorders>
        <w:shd w:val="clear" w:color="auto" w:fill="FFFFFF"/>
      </w:tcPr>
    </w:tblStylePr>
    <w:tblStylePr w:type="lastRow">
      <w:rPr>
        <w:rFonts w:ascii="Calibri" w:eastAsia="Calibri" w:hAnsi="Calibri" w:cs="Calibri"/>
        <w:b/>
        <w:bCs/>
        <w:color w:val="000000"/>
        <w:sz w:val="24"/>
        <w:szCs w:val="24"/>
      </w:rPr>
      <w:tblPr/>
      <w:tcPr>
        <w:tcBorders>
          <w:top w:val="single" w:sz="12" w:space="0" w:color="A6A6A6"/>
        </w:tcBorders>
        <w:shd w:val="clear" w:color="auto" w:fill="FFFFFF"/>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nil"/>
          <w:left w:val="nil"/>
          <w:bottom w:val="nil"/>
          <w:right w:val="nil"/>
          <w:insideH w:val="nil"/>
          <w:insideV w:val="nil"/>
        </w:tcBorders>
        <w:shd w:val="clear" w:color="auto" w:fill="FFFFFF"/>
      </w:tcPr>
    </w:tblStylePr>
    <w:tblStylePr w:type="band1Horz">
      <w:tblPr/>
      <w:tcPr>
        <w:shd w:val="clear" w:color="auto" w:fill="FFFFFF"/>
      </w:tcPr>
    </w:tblStylePr>
  </w:style>
  <w:style w:type="table" w:styleId="Kolorowalistaakcent3">
    <w:name w:val="Colorful List Accent 3"/>
    <w:basedOn w:val="Standardowy"/>
    <w:uiPriority w:val="72"/>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bottom w:val="single" w:sz="12" w:space="0" w:color="A6A6A6"/>
        </w:tcBorders>
        <w:shd w:val="clear" w:color="auto" w:fill="FFFFFF"/>
      </w:tcPr>
    </w:tblStylePr>
    <w:tblStylePr w:type="lastRow">
      <w:rPr>
        <w:rFonts w:ascii="Calibri" w:eastAsia="Calibri" w:hAnsi="Calibri" w:cs="Calibri"/>
        <w:b/>
        <w:bCs/>
        <w:color w:val="000000"/>
        <w:sz w:val="24"/>
        <w:szCs w:val="24"/>
      </w:rPr>
      <w:tblPr/>
      <w:tcPr>
        <w:tcBorders>
          <w:top w:val="single" w:sz="12" w:space="0" w:color="A6A6A6"/>
        </w:tcBorders>
        <w:shd w:val="clear" w:color="auto" w:fill="FFFFFF"/>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nil"/>
          <w:left w:val="nil"/>
          <w:bottom w:val="nil"/>
          <w:right w:val="nil"/>
          <w:insideH w:val="nil"/>
          <w:insideV w:val="nil"/>
        </w:tcBorders>
        <w:shd w:val="clear" w:color="auto" w:fill="FFFFFF"/>
      </w:tcPr>
    </w:tblStylePr>
    <w:tblStylePr w:type="band1Horz">
      <w:tblPr/>
      <w:tcPr>
        <w:shd w:val="clear" w:color="auto" w:fill="FFFFFF"/>
      </w:tcPr>
    </w:tblStylePr>
  </w:style>
  <w:style w:type="table" w:styleId="Kolorowalistaakcent4">
    <w:name w:val="Colorful List Accent 4"/>
    <w:basedOn w:val="Standardowy"/>
    <w:uiPriority w:val="72"/>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bottom w:val="single" w:sz="12" w:space="0" w:color="A6A6A6"/>
        </w:tcBorders>
        <w:shd w:val="clear" w:color="auto" w:fill="FFFFFF"/>
      </w:tcPr>
    </w:tblStylePr>
    <w:tblStylePr w:type="lastRow">
      <w:rPr>
        <w:rFonts w:ascii="Calibri" w:eastAsia="Calibri" w:hAnsi="Calibri" w:cs="Calibri"/>
        <w:b/>
        <w:bCs/>
        <w:color w:val="000000"/>
        <w:sz w:val="24"/>
        <w:szCs w:val="24"/>
      </w:rPr>
      <w:tblPr/>
      <w:tcPr>
        <w:tcBorders>
          <w:top w:val="single" w:sz="12" w:space="0" w:color="A6A6A6"/>
        </w:tcBorders>
        <w:shd w:val="clear" w:color="auto" w:fill="FFFFFF"/>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nil"/>
          <w:left w:val="nil"/>
          <w:bottom w:val="nil"/>
          <w:right w:val="nil"/>
          <w:insideH w:val="nil"/>
          <w:insideV w:val="nil"/>
        </w:tcBorders>
        <w:shd w:val="clear" w:color="auto" w:fill="FFFFFF"/>
      </w:tcPr>
    </w:tblStylePr>
    <w:tblStylePr w:type="band1Horz">
      <w:tblPr/>
      <w:tcPr>
        <w:shd w:val="clear" w:color="auto" w:fill="FFFFFF"/>
      </w:tcPr>
    </w:tblStylePr>
  </w:style>
  <w:style w:type="table" w:styleId="Kolorowalistaakcent5">
    <w:name w:val="Colorful List Accent 5"/>
    <w:basedOn w:val="Standardowy"/>
    <w:uiPriority w:val="72"/>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bottom w:val="single" w:sz="12" w:space="0" w:color="A6A6A6"/>
        </w:tcBorders>
        <w:shd w:val="clear" w:color="auto" w:fill="FFFFFF"/>
      </w:tcPr>
    </w:tblStylePr>
    <w:tblStylePr w:type="lastRow">
      <w:rPr>
        <w:rFonts w:ascii="Calibri" w:eastAsia="Calibri" w:hAnsi="Calibri" w:cs="Calibri"/>
        <w:b/>
        <w:bCs/>
        <w:color w:val="000000"/>
        <w:sz w:val="24"/>
        <w:szCs w:val="24"/>
      </w:rPr>
      <w:tblPr/>
      <w:tcPr>
        <w:tcBorders>
          <w:top w:val="single" w:sz="12" w:space="0" w:color="A6A6A6"/>
        </w:tcBorders>
        <w:shd w:val="clear" w:color="auto" w:fill="FFFFFF"/>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nil"/>
          <w:left w:val="nil"/>
          <w:bottom w:val="nil"/>
          <w:right w:val="nil"/>
          <w:insideH w:val="nil"/>
          <w:insideV w:val="nil"/>
        </w:tcBorders>
        <w:shd w:val="clear" w:color="auto" w:fill="FFFFFF"/>
      </w:tcPr>
    </w:tblStylePr>
    <w:tblStylePr w:type="band1Horz">
      <w:tblPr/>
      <w:tcPr>
        <w:shd w:val="clear" w:color="auto" w:fill="FFFFFF"/>
      </w:tcPr>
    </w:tblStylePr>
  </w:style>
  <w:style w:type="table" w:styleId="Kolorowalistaakcent6">
    <w:name w:val="Colorful List Accent 6"/>
    <w:basedOn w:val="Standardowy"/>
    <w:uiPriority w:val="72"/>
    <w:rsid w:val="00CB0664"/>
    <w:pPr>
      <w:spacing w:after="0" w:line="240" w:lineRule="auto"/>
    </w:pPr>
    <w:rPr>
      <w:rFonts w:ascii="Calibri" w:eastAsia="Calibri" w:hAnsi="Calibri" w:cs="Calibri"/>
      <w:lang w:val="pl-PL" w:eastAsia="pl-PL" w:bidi="pl-PL"/>
    </w:rPr>
    <w:tblPr>
      <w:tblStyleRowBandSize w:val="1"/>
      <w:tblStyleColBandSize w:val="1"/>
    </w:tblPr>
    <w:tcPr>
      <w:shd w:val="clear" w:color="auto" w:fill="FFFFFF"/>
    </w:tcPr>
    <w:tblStylePr w:type="firstRow">
      <w:rPr>
        <w:rFonts w:ascii="Calibri" w:eastAsia="Calibri" w:hAnsi="Calibri" w:cs="Calibri"/>
        <w:b/>
        <w:bCs/>
        <w:color w:val="000000"/>
        <w:sz w:val="24"/>
        <w:szCs w:val="24"/>
      </w:rPr>
      <w:tblPr/>
      <w:tcPr>
        <w:tcBorders>
          <w:bottom w:val="single" w:sz="12" w:space="0" w:color="A6A6A6"/>
        </w:tcBorders>
        <w:shd w:val="clear" w:color="auto" w:fill="FFFFFF"/>
      </w:tcPr>
    </w:tblStylePr>
    <w:tblStylePr w:type="lastRow">
      <w:rPr>
        <w:rFonts w:ascii="Calibri" w:eastAsia="Calibri" w:hAnsi="Calibri" w:cs="Calibri"/>
        <w:b/>
        <w:bCs/>
        <w:color w:val="000000"/>
        <w:sz w:val="24"/>
        <w:szCs w:val="24"/>
      </w:rPr>
      <w:tblPr/>
      <w:tcPr>
        <w:tcBorders>
          <w:top w:val="single" w:sz="12" w:space="0" w:color="A6A6A6"/>
        </w:tcBorders>
        <w:shd w:val="clear" w:color="auto" w:fill="FFFFFF"/>
      </w:tcPr>
    </w:tblStylePr>
    <w:tblStylePr w:type="firstCol">
      <w:rPr>
        <w:rFonts w:ascii="Calibri" w:eastAsia="Calibri" w:hAnsi="Calibri" w:cs="Calibri"/>
        <w:b/>
        <w:bCs/>
        <w:color w:val="000000"/>
        <w:sz w:val="24"/>
        <w:szCs w:val="24"/>
      </w:rPr>
    </w:tblStylePr>
    <w:tblStylePr w:type="lastCol">
      <w:rPr>
        <w:rFonts w:ascii="Calibri" w:eastAsia="Calibri" w:hAnsi="Calibri" w:cs="Calibri"/>
        <w:b/>
        <w:bCs/>
        <w:color w:val="000000"/>
        <w:sz w:val="24"/>
        <w:szCs w:val="24"/>
      </w:rPr>
    </w:tblStylePr>
    <w:tblStylePr w:type="band1Vert">
      <w:tblPr/>
      <w:tcPr>
        <w:tcBorders>
          <w:top w:val="nil"/>
          <w:left w:val="nil"/>
          <w:bottom w:val="nil"/>
          <w:right w:val="nil"/>
          <w:insideH w:val="nil"/>
          <w:insideV w:val="nil"/>
        </w:tcBorders>
        <w:shd w:val="clear" w:color="auto" w:fill="FFFFFF"/>
      </w:tcPr>
    </w:tblStylePr>
    <w:tblStylePr w:type="band1Horz">
      <w:tblPr/>
      <w:tcPr>
        <w:shd w:val="clear" w:color="auto" w:fill="FFFFFF"/>
      </w:tcPr>
    </w:tblStylePr>
  </w:style>
  <w:style w:type="table" w:styleId="Kolorowasiatka">
    <w:name w:val="Colorful Grid"/>
    <w:basedOn w:val="Standardowy"/>
    <w:uiPriority w:val="73"/>
    <w:rsid w:val="00CB0664"/>
    <w:pPr>
      <w:spacing w:after="0" w:line="240" w:lineRule="auto"/>
    </w:pPr>
    <w:rPr>
      <w:rFonts w:ascii="Calibri" w:eastAsia="Calibri" w:hAnsi="Calibri" w:cs="Calibri"/>
      <w:lang w:val="pl-PL" w:eastAsia="pl-PL" w:bidi="pl-PL"/>
    </w:rPr>
    <w:tblPr>
      <w:tblStyleRowBandSize w:val="1"/>
      <w:tblStyleColBandSize w:val="1"/>
      <w:tblBorders>
        <w:insideH w:val="single" w:sz="4"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shd w:val="clear" w:color="auto" w:fill="FFFFFF"/>
      </w:tcPr>
    </w:tblStylePr>
    <w:tblStylePr w:type="firstCol">
      <w:rPr>
        <w:rFonts w:ascii="Calibri" w:eastAsia="Calibri" w:hAnsi="Calibri" w:cs="Calibri"/>
        <w:color w:val="000000"/>
        <w:sz w:val="24"/>
        <w:szCs w:val="24"/>
      </w:rPr>
      <w:tblPr/>
      <w:tcPr>
        <w:shd w:val="clear" w:color="auto" w:fill="FFFFFF"/>
      </w:tcPr>
    </w:tblStylePr>
    <w:tblStylePr w:type="lastCol">
      <w:rPr>
        <w:rFonts w:ascii="Calibri" w:eastAsia="Calibri" w:hAnsi="Calibri" w:cs="Calibri"/>
        <w:color w:val="000000"/>
        <w:sz w:val="24"/>
        <w:szCs w:val="24"/>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Kolorowasiatkaakcent1">
    <w:name w:val="Colorful Grid Accent 1"/>
    <w:basedOn w:val="Standardowy"/>
    <w:uiPriority w:val="73"/>
    <w:rsid w:val="00CB0664"/>
    <w:pPr>
      <w:spacing w:after="0" w:line="240" w:lineRule="auto"/>
    </w:pPr>
    <w:rPr>
      <w:rFonts w:ascii="Calibri" w:eastAsia="Calibri" w:hAnsi="Calibri" w:cs="Calibri"/>
      <w:lang w:val="pl-PL" w:eastAsia="pl-PL" w:bidi="pl-PL"/>
    </w:rPr>
    <w:tblPr>
      <w:tblStyleRowBandSize w:val="1"/>
      <w:tblStyleColBandSize w:val="1"/>
      <w:tblBorders>
        <w:insideH w:val="single" w:sz="4"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shd w:val="clear" w:color="auto" w:fill="FFFFFF"/>
      </w:tcPr>
    </w:tblStylePr>
    <w:tblStylePr w:type="firstCol">
      <w:rPr>
        <w:rFonts w:ascii="Calibri" w:eastAsia="Calibri" w:hAnsi="Calibri" w:cs="Calibri"/>
        <w:color w:val="000000"/>
        <w:sz w:val="24"/>
        <w:szCs w:val="24"/>
      </w:rPr>
      <w:tblPr/>
      <w:tcPr>
        <w:shd w:val="clear" w:color="auto" w:fill="FFFFFF"/>
      </w:tcPr>
    </w:tblStylePr>
    <w:tblStylePr w:type="lastCol">
      <w:rPr>
        <w:rFonts w:ascii="Calibri" w:eastAsia="Calibri" w:hAnsi="Calibri" w:cs="Calibri"/>
        <w:color w:val="000000"/>
        <w:sz w:val="24"/>
        <w:szCs w:val="24"/>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Kolorowasiatkaakcent2">
    <w:name w:val="Colorful Grid Accent 2"/>
    <w:basedOn w:val="Standardowy"/>
    <w:uiPriority w:val="73"/>
    <w:rsid w:val="00CB0664"/>
    <w:pPr>
      <w:spacing w:after="0" w:line="240" w:lineRule="auto"/>
    </w:pPr>
    <w:rPr>
      <w:rFonts w:ascii="Calibri" w:eastAsia="Calibri" w:hAnsi="Calibri" w:cs="Calibri"/>
      <w:lang w:val="pl-PL" w:eastAsia="pl-PL" w:bidi="pl-PL"/>
    </w:rPr>
    <w:tblPr>
      <w:tblStyleRowBandSize w:val="1"/>
      <w:tblStyleColBandSize w:val="1"/>
      <w:tblBorders>
        <w:insideH w:val="single" w:sz="4"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shd w:val="clear" w:color="auto" w:fill="FFFFFF"/>
      </w:tcPr>
    </w:tblStylePr>
    <w:tblStylePr w:type="firstCol">
      <w:rPr>
        <w:rFonts w:ascii="Calibri" w:eastAsia="Calibri" w:hAnsi="Calibri" w:cs="Calibri"/>
        <w:color w:val="000000"/>
        <w:sz w:val="24"/>
        <w:szCs w:val="24"/>
      </w:rPr>
      <w:tblPr/>
      <w:tcPr>
        <w:shd w:val="clear" w:color="auto" w:fill="FFFFFF"/>
      </w:tcPr>
    </w:tblStylePr>
    <w:tblStylePr w:type="lastCol">
      <w:rPr>
        <w:rFonts w:ascii="Calibri" w:eastAsia="Calibri" w:hAnsi="Calibri" w:cs="Calibri"/>
        <w:color w:val="000000"/>
        <w:sz w:val="24"/>
        <w:szCs w:val="24"/>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Kolorowasiatkaakcent3">
    <w:name w:val="Colorful Grid Accent 3"/>
    <w:basedOn w:val="Standardowy"/>
    <w:uiPriority w:val="73"/>
    <w:rsid w:val="00CB0664"/>
    <w:pPr>
      <w:spacing w:after="0" w:line="240" w:lineRule="auto"/>
    </w:pPr>
    <w:rPr>
      <w:rFonts w:ascii="Calibri" w:eastAsia="Calibri" w:hAnsi="Calibri" w:cs="Calibri"/>
      <w:lang w:val="pl-PL" w:eastAsia="pl-PL" w:bidi="pl-PL"/>
    </w:rPr>
    <w:tblPr>
      <w:tblStyleRowBandSize w:val="1"/>
      <w:tblStyleColBandSize w:val="1"/>
      <w:tblBorders>
        <w:insideH w:val="single" w:sz="4"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shd w:val="clear" w:color="auto" w:fill="FFFFFF"/>
      </w:tcPr>
    </w:tblStylePr>
    <w:tblStylePr w:type="firstCol">
      <w:rPr>
        <w:rFonts w:ascii="Calibri" w:eastAsia="Calibri" w:hAnsi="Calibri" w:cs="Calibri"/>
        <w:color w:val="000000"/>
        <w:sz w:val="24"/>
        <w:szCs w:val="24"/>
      </w:rPr>
      <w:tblPr/>
      <w:tcPr>
        <w:shd w:val="clear" w:color="auto" w:fill="FFFFFF"/>
      </w:tcPr>
    </w:tblStylePr>
    <w:tblStylePr w:type="lastCol">
      <w:rPr>
        <w:rFonts w:ascii="Calibri" w:eastAsia="Calibri" w:hAnsi="Calibri" w:cs="Calibri"/>
        <w:color w:val="000000"/>
        <w:sz w:val="24"/>
        <w:szCs w:val="24"/>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Kolorowasiatkaakcent4">
    <w:name w:val="Colorful Grid Accent 4"/>
    <w:basedOn w:val="Standardowy"/>
    <w:uiPriority w:val="73"/>
    <w:rsid w:val="00CB0664"/>
    <w:pPr>
      <w:spacing w:after="0" w:line="240" w:lineRule="auto"/>
    </w:pPr>
    <w:rPr>
      <w:rFonts w:ascii="Calibri" w:eastAsia="Calibri" w:hAnsi="Calibri" w:cs="Calibri"/>
      <w:lang w:val="pl-PL" w:eastAsia="pl-PL" w:bidi="pl-PL"/>
    </w:rPr>
    <w:tblPr>
      <w:tblStyleRowBandSize w:val="1"/>
      <w:tblStyleColBandSize w:val="1"/>
      <w:tblBorders>
        <w:insideH w:val="single" w:sz="4"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shd w:val="clear" w:color="auto" w:fill="FFFFFF"/>
      </w:tcPr>
    </w:tblStylePr>
    <w:tblStylePr w:type="firstCol">
      <w:rPr>
        <w:rFonts w:ascii="Calibri" w:eastAsia="Calibri" w:hAnsi="Calibri" w:cs="Calibri"/>
        <w:color w:val="000000"/>
        <w:sz w:val="24"/>
        <w:szCs w:val="24"/>
      </w:rPr>
      <w:tblPr/>
      <w:tcPr>
        <w:shd w:val="clear" w:color="auto" w:fill="FFFFFF"/>
      </w:tcPr>
    </w:tblStylePr>
    <w:tblStylePr w:type="lastCol">
      <w:rPr>
        <w:rFonts w:ascii="Calibri" w:eastAsia="Calibri" w:hAnsi="Calibri" w:cs="Calibri"/>
        <w:color w:val="000000"/>
        <w:sz w:val="24"/>
        <w:szCs w:val="24"/>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Kolorowasiatkaakcent5">
    <w:name w:val="Colorful Grid Accent 5"/>
    <w:basedOn w:val="Standardowy"/>
    <w:uiPriority w:val="73"/>
    <w:rsid w:val="00CB0664"/>
    <w:pPr>
      <w:spacing w:after="0" w:line="240" w:lineRule="auto"/>
    </w:pPr>
    <w:rPr>
      <w:rFonts w:ascii="Calibri" w:eastAsia="Calibri" w:hAnsi="Calibri" w:cs="Calibri"/>
      <w:lang w:val="pl-PL" w:eastAsia="pl-PL" w:bidi="pl-PL"/>
    </w:rPr>
    <w:tblPr>
      <w:tblStyleRowBandSize w:val="1"/>
      <w:tblStyleColBandSize w:val="1"/>
      <w:tblBorders>
        <w:insideH w:val="single" w:sz="4"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shd w:val="clear" w:color="auto" w:fill="FFFFFF"/>
      </w:tcPr>
    </w:tblStylePr>
    <w:tblStylePr w:type="firstCol">
      <w:rPr>
        <w:rFonts w:ascii="Calibri" w:eastAsia="Calibri" w:hAnsi="Calibri" w:cs="Calibri"/>
        <w:color w:val="000000"/>
        <w:sz w:val="24"/>
        <w:szCs w:val="24"/>
      </w:rPr>
      <w:tblPr/>
      <w:tcPr>
        <w:shd w:val="clear" w:color="auto" w:fill="FFFFFF"/>
      </w:tcPr>
    </w:tblStylePr>
    <w:tblStylePr w:type="lastCol">
      <w:rPr>
        <w:rFonts w:ascii="Calibri" w:eastAsia="Calibri" w:hAnsi="Calibri" w:cs="Calibri"/>
        <w:color w:val="000000"/>
        <w:sz w:val="24"/>
        <w:szCs w:val="24"/>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Kolorowasiatkaakcent6">
    <w:name w:val="Colorful Grid Accent 6"/>
    <w:basedOn w:val="Standardowy"/>
    <w:uiPriority w:val="73"/>
    <w:rsid w:val="00CB0664"/>
    <w:pPr>
      <w:spacing w:after="0" w:line="240" w:lineRule="auto"/>
    </w:pPr>
    <w:rPr>
      <w:rFonts w:ascii="Calibri" w:eastAsia="Calibri" w:hAnsi="Calibri" w:cs="Calibri"/>
      <w:lang w:val="pl-PL" w:eastAsia="pl-PL" w:bidi="pl-PL"/>
    </w:rPr>
    <w:tblPr>
      <w:tblStyleRowBandSize w:val="1"/>
      <w:tblStyleColBandSize w:val="1"/>
      <w:tblBorders>
        <w:insideH w:val="single" w:sz="4" w:space="0" w:color="A6A6A6"/>
      </w:tblBorders>
    </w:tblPr>
    <w:tcPr>
      <w:shd w:val="clear" w:color="auto" w:fill="FFFFFF"/>
    </w:tcPr>
    <w:tblStylePr w:type="firstRow">
      <w:rPr>
        <w:rFonts w:ascii="Calibri" w:eastAsia="Calibri" w:hAnsi="Calibri" w:cs="Calibri"/>
        <w:b/>
        <w:bCs/>
        <w:color w:val="000000"/>
        <w:sz w:val="24"/>
        <w:szCs w:val="24"/>
      </w:rPr>
      <w:tblPr/>
      <w:tcPr>
        <w:shd w:val="clear" w:color="auto" w:fill="FFFFFF"/>
      </w:tcPr>
    </w:tblStylePr>
    <w:tblStylePr w:type="lastRow">
      <w:rPr>
        <w:rFonts w:ascii="Calibri" w:eastAsia="Calibri" w:hAnsi="Calibri" w:cs="Calibri"/>
        <w:b/>
        <w:bCs/>
        <w:color w:val="000000"/>
        <w:sz w:val="24"/>
        <w:szCs w:val="24"/>
      </w:rPr>
      <w:tblPr/>
      <w:tcPr>
        <w:shd w:val="clear" w:color="auto" w:fill="FFFFFF"/>
      </w:tcPr>
    </w:tblStylePr>
    <w:tblStylePr w:type="firstCol">
      <w:rPr>
        <w:rFonts w:ascii="Calibri" w:eastAsia="Calibri" w:hAnsi="Calibri" w:cs="Calibri"/>
        <w:color w:val="000000"/>
        <w:sz w:val="24"/>
        <w:szCs w:val="24"/>
      </w:rPr>
      <w:tblPr/>
      <w:tcPr>
        <w:shd w:val="clear" w:color="auto" w:fill="FFFFFF"/>
      </w:tcPr>
    </w:tblStylePr>
    <w:tblStylePr w:type="lastCol">
      <w:rPr>
        <w:rFonts w:ascii="Calibri" w:eastAsia="Calibri" w:hAnsi="Calibri" w:cs="Calibri"/>
        <w:color w:val="000000"/>
        <w:sz w:val="24"/>
        <w:szCs w:val="24"/>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character" w:styleId="Hipercze">
    <w:name w:val="Hyperlink"/>
    <w:basedOn w:val="Domylnaczcionkaakapitu"/>
    <w:uiPriority w:val="99"/>
    <w:unhideWhenUsed/>
    <w:rsid w:val="00104434"/>
    <w:rPr>
      <w:color w:val="0000FF" w:themeColor="hyperlink"/>
      <w:u w:val="single"/>
    </w:rPr>
  </w:style>
  <w:style w:type="character" w:styleId="Nierozpoznanawzmianka">
    <w:name w:val="Unresolved Mention"/>
    <w:basedOn w:val="Domylnaczcionkaakapitu"/>
    <w:uiPriority w:val="99"/>
    <w:semiHidden/>
    <w:unhideWhenUsed/>
    <w:rsid w:val="00104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14</Pages>
  <Words>4985</Words>
  <Characters>29911</Characters>
  <Application>Microsoft Office Word</Application>
  <DocSecurity>0</DocSecurity>
  <Lines>249</Lines>
  <Paragraphs>69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Informacja o przetwarzaniu danych osobowych – Medica sp. z o.o.</vt:lpstr>
      <vt:lpstr/>
    </vt:vector>
  </TitlesOfParts>
  <Manager/>
  <Company/>
  <LinksUpToDate>false</LinksUpToDate>
  <CharactersWithSpaces>34827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przetwarzaniu danych osobowych – Medica sp. z o.o.</dc:title>
  <dc:subject>Informacja dla pacjentów i użytkowników serwisu www.gzmedica.pl</dc:subject>
  <dc:creator>Medica sp. z o.o.</dc:creator>
  <cp:keywords>RODO, dane osobowe, pacjent, Medica</cp:keywords>
  <dc:description>Wersja z dnia 22.08.2026 r.</dc:description>
  <cp:lastModifiedBy>Karina Łaszewska</cp:lastModifiedBy>
  <cp:revision>35</cp:revision>
  <dcterms:created xsi:type="dcterms:W3CDTF">2013-12-23T23:15:00Z</dcterms:created>
  <dcterms:modified xsi:type="dcterms:W3CDTF">2026-09-07T11:55:00Z</dcterms:modified>
  <cp:category/>
</cp:coreProperties>
</file>